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7993" w14:textId="5158D80D" w:rsidR="00847882" w:rsidRDefault="00847882" w:rsidP="0016195A">
      <w:pPr>
        <w:rPr>
          <w:rFonts w:cstheme="minorHAnsi"/>
          <w:b/>
          <w:bCs/>
          <w:sz w:val="28"/>
          <w:szCs w:val="28"/>
          <w:u w:val="single"/>
        </w:rPr>
      </w:pPr>
      <w:r w:rsidRPr="00C70A55">
        <w:rPr>
          <w:rFonts w:cstheme="minorHAnsi"/>
          <w:b/>
          <w:bCs/>
          <w:sz w:val="28"/>
          <w:szCs w:val="28"/>
          <w:u w:val="single"/>
        </w:rPr>
        <w:t xml:space="preserve">Proprietary Transaction Code </w:t>
      </w:r>
      <w:r>
        <w:rPr>
          <w:rFonts w:cstheme="minorHAnsi"/>
          <w:b/>
          <w:bCs/>
          <w:sz w:val="28"/>
          <w:szCs w:val="28"/>
          <w:u w:val="single"/>
        </w:rPr>
        <w:t>Additions</w:t>
      </w:r>
      <w:r w:rsidRPr="00C70A55">
        <w:rPr>
          <w:rFonts w:cstheme="minorHAnsi"/>
          <w:b/>
          <w:bCs/>
          <w:sz w:val="28"/>
          <w:szCs w:val="28"/>
          <w:u w:val="single"/>
        </w:rPr>
        <w:t xml:space="preserve"> (FY 202</w:t>
      </w:r>
      <w:r>
        <w:rPr>
          <w:rFonts w:cstheme="minorHAnsi"/>
          <w:b/>
          <w:bCs/>
          <w:sz w:val="28"/>
          <w:szCs w:val="28"/>
          <w:u w:val="single"/>
        </w:rPr>
        <w:t>6</w:t>
      </w:r>
      <w:r w:rsidRPr="00C70A55">
        <w:rPr>
          <w:rFonts w:cstheme="minorHAnsi"/>
          <w:b/>
          <w:bCs/>
          <w:sz w:val="28"/>
          <w:szCs w:val="28"/>
          <w:u w:val="single"/>
        </w:rPr>
        <w:t>)</w:t>
      </w:r>
    </w:p>
    <w:p w14:paraId="7C316633" w14:textId="0EAB02D1" w:rsidR="00182B43" w:rsidRPr="0016195A" w:rsidRDefault="0016195A" w:rsidP="0016195A">
      <w:pPr>
        <w:spacing w:after="160"/>
        <w:rPr>
          <w:rFonts w:cstheme="minorHAnsi"/>
          <w:b/>
          <w:bCs/>
          <w:szCs w:val="22"/>
        </w:rPr>
      </w:pPr>
      <w:r w:rsidRPr="0016195A">
        <w:rPr>
          <w:rFonts w:cstheme="minorHAnsi"/>
          <w:b/>
          <w:bCs/>
          <w:szCs w:val="22"/>
        </w:rPr>
        <w:t>Repairable Carcass Inventory Replenishment T</w:t>
      </w:r>
      <w:r>
        <w:rPr>
          <w:rFonts w:cstheme="minorHAnsi"/>
          <w:b/>
          <w:bCs/>
          <w:szCs w:val="22"/>
        </w:rPr>
        <w:t>ransaction</w:t>
      </w:r>
      <w:r w:rsidRPr="0016195A">
        <w:rPr>
          <w:rFonts w:cstheme="minorHAnsi"/>
          <w:b/>
          <w:bCs/>
          <w:szCs w:val="22"/>
        </w:rPr>
        <w:t>s</w:t>
      </w:r>
    </w:p>
    <w:p w14:paraId="5EF10621" w14:textId="36D69F23" w:rsidR="005B039A" w:rsidRDefault="009F730A" w:rsidP="000310D8">
      <w:pPr>
        <w:pStyle w:val="TableParagraph"/>
        <w:ind w:right="163"/>
        <w:jc w:val="both"/>
        <w:rPr>
          <w:color w:val="215E99" w:themeColor="text2" w:themeTint="BF"/>
        </w:rPr>
      </w:pPr>
      <w:r w:rsidRPr="009F730A">
        <w:rPr>
          <w:b/>
          <w:bCs/>
        </w:rPr>
        <w:t xml:space="preserve">1) </w:t>
      </w:r>
      <w:r w:rsidR="005B039A" w:rsidRPr="00A844FB">
        <w:rPr>
          <w:b/>
          <w:bCs/>
          <w:color w:val="215E99" w:themeColor="text2" w:themeTint="BF"/>
        </w:rPr>
        <w:t>C43</w:t>
      </w:r>
      <w:r w:rsidR="00D133DA" w:rsidRPr="00A844FB">
        <w:rPr>
          <w:b/>
          <w:bCs/>
          <w:color w:val="215E99" w:themeColor="text2" w:themeTint="BF"/>
        </w:rPr>
        <w:t>9</w:t>
      </w:r>
      <w:r w:rsidR="005B039A" w:rsidRPr="00A844FB">
        <w:rPr>
          <w:color w:val="215E99" w:themeColor="text2" w:themeTint="BF"/>
        </w:rPr>
        <w:t xml:space="preserve"> </w:t>
      </w:r>
      <w:r w:rsidR="005B039A" w:rsidRPr="00903C09">
        <w:rPr>
          <w:color w:val="215E99" w:themeColor="text2" w:themeTint="BF"/>
        </w:rPr>
        <w:t xml:space="preserve">To record </w:t>
      </w:r>
      <w:r w:rsidR="004A509B">
        <w:rPr>
          <w:color w:val="215E99" w:themeColor="text2" w:themeTint="BF"/>
        </w:rPr>
        <w:t xml:space="preserve">the </w:t>
      </w:r>
      <w:r w:rsidR="00CF29E2">
        <w:rPr>
          <w:color w:val="215E99" w:themeColor="text2" w:themeTint="BF"/>
        </w:rPr>
        <w:t>sale</w:t>
      </w:r>
      <w:r w:rsidR="002A4DA0" w:rsidRPr="00903C09">
        <w:rPr>
          <w:color w:val="215E99" w:themeColor="text2" w:themeTint="BF"/>
        </w:rPr>
        <w:t xml:space="preserve"> of </w:t>
      </w:r>
      <w:r w:rsidR="00CF29E2">
        <w:rPr>
          <w:color w:val="215E99" w:themeColor="text2" w:themeTint="BF"/>
        </w:rPr>
        <w:t xml:space="preserve">a replacement </w:t>
      </w:r>
      <w:r w:rsidR="00790128">
        <w:rPr>
          <w:color w:val="215E99" w:themeColor="text2" w:themeTint="BF"/>
        </w:rPr>
        <w:t xml:space="preserve">inventory </w:t>
      </w:r>
      <w:r w:rsidR="00CF29E2">
        <w:rPr>
          <w:color w:val="215E99" w:themeColor="text2" w:themeTint="BF"/>
        </w:rPr>
        <w:t xml:space="preserve">unit </w:t>
      </w:r>
      <w:r w:rsidR="004A509B" w:rsidRPr="004E2F1B">
        <w:rPr>
          <w:color w:val="215E99" w:themeColor="text2" w:themeTint="BF"/>
        </w:rPr>
        <w:t xml:space="preserve">in which </w:t>
      </w:r>
      <w:r w:rsidR="00CF29E2">
        <w:rPr>
          <w:color w:val="215E99" w:themeColor="text2" w:themeTint="BF"/>
        </w:rPr>
        <w:t>t</w:t>
      </w:r>
      <w:r w:rsidR="004A509B" w:rsidRPr="004E2F1B">
        <w:rPr>
          <w:color w:val="215E99" w:themeColor="text2" w:themeTint="BF"/>
        </w:rPr>
        <w:t xml:space="preserve">he </w:t>
      </w:r>
      <w:r w:rsidR="004A509B">
        <w:rPr>
          <w:color w:val="215E99" w:themeColor="text2" w:themeTint="BF"/>
        </w:rPr>
        <w:t xml:space="preserve">fair </w:t>
      </w:r>
      <w:r w:rsidR="004A509B" w:rsidRPr="004E2F1B">
        <w:rPr>
          <w:color w:val="215E99" w:themeColor="text2" w:themeTint="BF"/>
        </w:rPr>
        <w:t xml:space="preserve">value of </w:t>
      </w:r>
      <w:r w:rsidR="00CF29E2">
        <w:rPr>
          <w:color w:val="215E99" w:themeColor="text2" w:themeTint="BF"/>
        </w:rPr>
        <w:t>an</w:t>
      </w:r>
      <w:r w:rsidR="004A509B" w:rsidRPr="004E2F1B">
        <w:rPr>
          <w:color w:val="215E99" w:themeColor="text2" w:themeTint="BF"/>
        </w:rPr>
        <w:t xml:space="preserve"> older </w:t>
      </w:r>
      <w:r w:rsidR="00790128">
        <w:rPr>
          <w:color w:val="215E99" w:themeColor="text2" w:themeTint="BF"/>
        </w:rPr>
        <w:t xml:space="preserve">inventory </w:t>
      </w:r>
      <w:r w:rsidR="004A509B" w:rsidRPr="004E2F1B">
        <w:rPr>
          <w:color w:val="215E99" w:themeColor="text2" w:themeTint="BF"/>
        </w:rPr>
        <w:t xml:space="preserve">unit </w:t>
      </w:r>
      <w:r w:rsidR="00CF29E2">
        <w:rPr>
          <w:color w:val="215E99" w:themeColor="text2" w:themeTint="BF"/>
        </w:rPr>
        <w:t xml:space="preserve">no longer in service </w:t>
      </w:r>
      <w:r w:rsidR="004A509B" w:rsidRPr="004E2F1B">
        <w:rPr>
          <w:color w:val="215E99" w:themeColor="text2" w:themeTint="BF"/>
        </w:rPr>
        <w:t>is credited against the</w:t>
      </w:r>
      <w:r w:rsidR="004A509B">
        <w:rPr>
          <w:color w:val="215E99" w:themeColor="text2" w:themeTint="BF"/>
        </w:rPr>
        <w:t xml:space="preserve"> </w:t>
      </w:r>
      <w:r w:rsidR="004A509B" w:rsidRPr="004E2F1B">
        <w:rPr>
          <w:color w:val="215E99" w:themeColor="text2" w:themeTint="BF"/>
        </w:rPr>
        <w:t>sales price</w:t>
      </w:r>
      <w:r w:rsidR="004A509B">
        <w:rPr>
          <w:color w:val="215E99" w:themeColor="text2" w:themeTint="BF"/>
        </w:rPr>
        <w:t xml:space="preserve"> of </w:t>
      </w:r>
      <w:r w:rsidR="00CF29E2">
        <w:rPr>
          <w:color w:val="215E99" w:themeColor="text2" w:themeTint="BF"/>
        </w:rPr>
        <w:t>the new exchange</w:t>
      </w:r>
      <w:r w:rsidR="004A509B">
        <w:rPr>
          <w:color w:val="215E99" w:themeColor="text2" w:themeTint="BF"/>
        </w:rPr>
        <w:t xml:space="preserve"> transaction.</w:t>
      </w:r>
    </w:p>
    <w:p w14:paraId="6308F08D" w14:textId="77777777" w:rsidR="004A509B" w:rsidRPr="00865DCF" w:rsidRDefault="004A509B" w:rsidP="000310D8">
      <w:pPr>
        <w:pStyle w:val="TableParagraph"/>
        <w:ind w:right="163"/>
        <w:jc w:val="both"/>
      </w:pPr>
    </w:p>
    <w:p w14:paraId="47C3337A" w14:textId="45847950" w:rsidR="0072717A" w:rsidRPr="00847882" w:rsidRDefault="005B039A" w:rsidP="000310D8">
      <w:pPr>
        <w:pStyle w:val="TableParagraph"/>
        <w:ind w:right="163"/>
        <w:jc w:val="both"/>
        <w:rPr>
          <w:color w:val="215E99" w:themeColor="text2" w:themeTint="BF"/>
        </w:rPr>
      </w:pPr>
      <w:r w:rsidRPr="00EE6FEB">
        <w:rPr>
          <w:b/>
          <w:bCs/>
          <w:color w:val="215E99" w:themeColor="text2" w:themeTint="BF"/>
        </w:rPr>
        <w:t>Comment:</w:t>
      </w:r>
      <w:r w:rsidR="001F068A" w:rsidRPr="00EE6FEB">
        <w:rPr>
          <w:color w:val="215E99" w:themeColor="text2" w:themeTint="BF"/>
        </w:rPr>
        <w:t xml:space="preserve"> </w:t>
      </w:r>
      <w:r w:rsidR="0072717A">
        <w:rPr>
          <w:color w:val="215E99" w:themeColor="text2" w:themeTint="BF"/>
        </w:rPr>
        <w:t xml:space="preserve">When the providing entity receives </w:t>
      </w:r>
      <w:r w:rsidR="00AC729A">
        <w:rPr>
          <w:color w:val="215E99" w:themeColor="text2" w:themeTint="BF"/>
        </w:rPr>
        <w:t xml:space="preserve">a </w:t>
      </w:r>
      <w:r w:rsidR="0072717A">
        <w:rPr>
          <w:color w:val="215E99" w:themeColor="text2" w:themeTint="BF"/>
        </w:rPr>
        <w:t xml:space="preserve">repairable </w:t>
      </w:r>
      <w:r w:rsidR="00AC729A">
        <w:rPr>
          <w:color w:val="215E99" w:themeColor="text2" w:themeTint="BF"/>
        </w:rPr>
        <w:t xml:space="preserve">inventory carcass </w:t>
      </w:r>
      <w:r w:rsidR="0072717A">
        <w:rPr>
          <w:color w:val="215E99" w:themeColor="text2" w:themeTint="BF"/>
        </w:rPr>
        <w:t>unit from another federal entity</w:t>
      </w:r>
      <w:r w:rsidR="00854107">
        <w:rPr>
          <w:color w:val="215E99" w:themeColor="text2" w:themeTint="BF"/>
        </w:rPr>
        <w:t xml:space="preserve"> </w:t>
      </w:r>
      <w:r w:rsidR="00AC729A">
        <w:rPr>
          <w:color w:val="215E99" w:themeColor="text2" w:themeTint="BF"/>
        </w:rPr>
        <w:t>that is unrelated to an existing customer order</w:t>
      </w:r>
      <w:r w:rsidR="0072717A">
        <w:rPr>
          <w:color w:val="215E99" w:themeColor="text2" w:themeTint="BF"/>
        </w:rPr>
        <w:t xml:space="preserve">, it </w:t>
      </w:r>
      <w:r w:rsidR="00D411E1">
        <w:rPr>
          <w:color w:val="215E99" w:themeColor="text2" w:themeTint="BF"/>
        </w:rPr>
        <w:t xml:space="preserve">initially </w:t>
      </w:r>
      <w:r w:rsidR="00085960">
        <w:rPr>
          <w:color w:val="215E99" w:themeColor="text2" w:themeTint="BF"/>
        </w:rPr>
        <w:t>recognizes a liability for future exchange for the value of the turned-</w:t>
      </w:r>
      <w:r w:rsidR="00085960" w:rsidRPr="00847882">
        <w:rPr>
          <w:color w:val="215E99" w:themeColor="text2" w:themeTint="BF"/>
        </w:rPr>
        <w:t>in inventory carcass unit</w:t>
      </w:r>
      <w:r w:rsidR="00D411E1" w:rsidRPr="00847882">
        <w:rPr>
          <w:color w:val="215E99" w:themeColor="text2" w:themeTint="BF"/>
        </w:rPr>
        <w:t xml:space="preserve">- See TC E439. </w:t>
      </w:r>
      <w:r w:rsidR="00085960" w:rsidRPr="00847882">
        <w:rPr>
          <w:color w:val="215E99" w:themeColor="text2" w:themeTint="BF"/>
        </w:rPr>
        <w:t>When th</w:t>
      </w:r>
      <w:r w:rsidR="006E3856" w:rsidRPr="00847882">
        <w:rPr>
          <w:color w:val="215E99" w:themeColor="text2" w:themeTint="BF"/>
        </w:rPr>
        <w:t>is</w:t>
      </w:r>
      <w:r w:rsidR="00085960" w:rsidRPr="00847882">
        <w:rPr>
          <w:color w:val="215E99" w:themeColor="text2" w:themeTint="BF"/>
        </w:rPr>
        <w:t xml:space="preserve"> order is established and replacement unit is sold, the providing entity </w:t>
      </w:r>
      <w:r w:rsidR="0072717A" w:rsidRPr="00847882">
        <w:rPr>
          <w:color w:val="215E99" w:themeColor="text2" w:themeTint="BF"/>
        </w:rPr>
        <w:t xml:space="preserve">should </w:t>
      </w:r>
      <w:r w:rsidR="008A28B4" w:rsidRPr="00847882">
        <w:rPr>
          <w:color w:val="215E99" w:themeColor="text2" w:themeTint="BF"/>
        </w:rPr>
        <w:t>debit</w:t>
      </w:r>
      <w:r w:rsidR="0072717A" w:rsidRPr="00847882">
        <w:rPr>
          <w:color w:val="215E99" w:themeColor="text2" w:themeTint="BF"/>
        </w:rPr>
        <w:t xml:space="preserve"> SGL </w:t>
      </w:r>
      <w:r w:rsidR="00847882" w:rsidRPr="00847882">
        <w:rPr>
          <w:color w:val="215E99" w:themeColor="text2" w:themeTint="BF"/>
        </w:rPr>
        <w:t>293900</w:t>
      </w:r>
      <w:r w:rsidR="0072717A" w:rsidRPr="00847882">
        <w:rPr>
          <w:color w:val="215E99" w:themeColor="text2" w:themeTint="BF"/>
        </w:rPr>
        <w:t xml:space="preserve"> </w:t>
      </w:r>
      <w:r w:rsidR="006E3856" w:rsidRPr="00847882">
        <w:rPr>
          <w:color w:val="215E99" w:themeColor="text2" w:themeTint="BF"/>
        </w:rPr>
        <w:t xml:space="preserve">below </w:t>
      </w:r>
      <w:r w:rsidR="0072717A" w:rsidRPr="00847882">
        <w:rPr>
          <w:color w:val="215E99" w:themeColor="text2" w:themeTint="BF"/>
        </w:rPr>
        <w:t xml:space="preserve">to </w:t>
      </w:r>
      <w:r w:rsidR="00085960" w:rsidRPr="00847882">
        <w:rPr>
          <w:color w:val="215E99" w:themeColor="text2" w:themeTint="BF"/>
        </w:rPr>
        <w:t>reduce the</w:t>
      </w:r>
      <w:r w:rsidR="008A28B4" w:rsidRPr="00847882">
        <w:rPr>
          <w:color w:val="215E99" w:themeColor="text2" w:themeTint="BF"/>
        </w:rPr>
        <w:t xml:space="preserve"> </w:t>
      </w:r>
      <w:r w:rsidR="00085960" w:rsidRPr="00847882">
        <w:rPr>
          <w:color w:val="215E99" w:themeColor="text2" w:themeTint="BF"/>
        </w:rPr>
        <w:t>credit previously applied</w:t>
      </w:r>
      <w:r w:rsidR="008A28B4" w:rsidRPr="00847882">
        <w:rPr>
          <w:color w:val="215E99" w:themeColor="text2" w:themeTint="BF"/>
        </w:rPr>
        <w:t xml:space="preserve">. </w:t>
      </w:r>
      <w:r w:rsidR="0072717A" w:rsidRPr="00847882">
        <w:rPr>
          <w:color w:val="215E99" w:themeColor="text2" w:themeTint="BF"/>
        </w:rPr>
        <w:t>Also post TC E408 to recognize Cost of Goods Sold.</w:t>
      </w:r>
    </w:p>
    <w:p w14:paraId="5E976D88" w14:textId="77777777" w:rsidR="0072717A" w:rsidRPr="00847882" w:rsidRDefault="0072717A" w:rsidP="000310D8">
      <w:pPr>
        <w:pStyle w:val="TableParagraph"/>
        <w:ind w:right="163"/>
        <w:jc w:val="both"/>
        <w:rPr>
          <w:color w:val="215E99" w:themeColor="text2" w:themeTint="BF"/>
        </w:rPr>
      </w:pPr>
    </w:p>
    <w:p w14:paraId="4749F7C4" w14:textId="147AB3B9" w:rsidR="006A7D17" w:rsidRDefault="006A7D17" w:rsidP="000310D8">
      <w:pPr>
        <w:pStyle w:val="TableParagraph"/>
        <w:ind w:right="163"/>
        <w:jc w:val="both"/>
        <w:rPr>
          <w:color w:val="215E99" w:themeColor="text2" w:themeTint="BF"/>
        </w:rPr>
      </w:pPr>
      <w:r w:rsidRPr="00847882">
        <w:rPr>
          <w:color w:val="215E99" w:themeColor="text2" w:themeTint="BF"/>
        </w:rPr>
        <w:t xml:space="preserve">When an inventory carcass unit remains “due-in” </w:t>
      </w:r>
      <w:r w:rsidR="00004481" w:rsidRPr="00847882">
        <w:rPr>
          <w:color w:val="215E99" w:themeColor="text2" w:themeTint="BF"/>
        </w:rPr>
        <w:t xml:space="preserve">from the buyer </w:t>
      </w:r>
      <w:r w:rsidRPr="00847882">
        <w:rPr>
          <w:color w:val="215E99" w:themeColor="text2" w:themeTint="BF"/>
        </w:rPr>
        <w:t xml:space="preserve">at the time of sale and the trade-in does not occur simultaneously with the </w:t>
      </w:r>
      <w:r w:rsidR="00004481" w:rsidRPr="00847882">
        <w:rPr>
          <w:color w:val="215E99" w:themeColor="text2" w:themeTint="BF"/>
        </w:rPr>
        <w:t xml:space="preserve">replacement item </w:t>
      </w:r>
      <w:r w:rsidRPr="00847882">
        <w:rPr>
          <w:color w:val="215E99" w:themeColor="text2" w:themeTint="BF"/>
        </w:rPr>
        <w:t>delivery, t</w:t>
      </w:r>
      <w:r w:rsidR="0072385A" w:rsidRPr="00847882">
        <w:rPr>
          <w:color w:val="215E99" w:themeColor="text2" w:themeTint="BF"/>
        </w:rPr>
        <w:t>he providing entity should d</w:t>
      </w:r>
      <w:r w:rsidR="005B039A" w:rsidRPr="00847882">
        <w:rPr>
          <w:color w:val="215E99" w:themeColor="text2" w:themeTint="BF"/>
        </w:rPr>
        <w:t xml:space="preserve">ebit SGL </w:t>
      </w:r>
      <w:r w:rsidR="00847882" w:rsidRPr="00847882">
        <w:rPr>
          <w:color w:val="215E99" w:themeColor="text2" w:themeTint="BF"/>
        </w:rPr>
        <w:t>133900</w:t>
      </w:r>
      <w:r w:rsidR="005B039A" w:rsidRPr="00847882">
        <w:rPr>
          <w:color w:val="215E99" w:themeColor="text2" w:themeTint="BF"/>
        </w:rPr>
        <w:t xml:space="preserve"> to recognize a </w:t>
      </w:r>
      <w:r w:rsidR="007D4A7C" w:rsidRPr="00847882">
        <w:rPr>
          <w:color w:val="215E99" w:themeColor="text2" w:themeTint="BF"/>
        </w:rPr>
        <w:t xml:space="preserve">future credit </w:t>
      </w:r>
      <w:r w:rsidR="005B039A" w:rsidRPr="00847882">
        <w:rPr>
          <w:color w:val="215E99" w:themeColor="text2" w:themeTint="BF"/>
        </w:rPr>
        <w:t>receivable</w:t>
      </w:r>
      <w:r w:rsidR="007D4A7C" w:rsidRPr="00847882">
        <w:rPr>
          <w:color w:val="215E99" w:themeColor="text2" w:themeTint="BF"/>
        </w:rPr>
        <w:t xml:space="preserve"> </w:t>
      </w:r>
      <w:r w:rsidR="00696046" w:rsidRPr="00847882">
        <w:rPr>
          <w:color w:val="215E99" w:themeColor="text2" w:themeTint="BF"/>
        </w:rPr>
        <w:t>for the value of</w:t>
      </w:r>
      <w:r w:rsidR="005B039A" w:rsidRPr="00847882">
        <w:rPr>
          <w:color w:val="215E99" w:themeColor="text2" w:themeTint="BF"/>
        </w:rPr>
        <w:t xml:space="preserve"> </w:t>
      </w:r>
      <w:r w:rsidR="004A509B" w:rsidRPr="00847882">
        <w:rPr>
          <w:color w:val="215E99" w:themeColor="text2" w:themeTint="BF"/>
        </w:rPr>
        <w:t xml:space="preserve">the </w:t>
      </w:r>
      <w:r w:rsidR="00696046" w:rsidRPr="00847882">
        <w:rPr>
          <w:color w:val="215E99" w:themeColor="text2" w:themeTint="BF"/>
        </w:rPr>
        <w:t>inventory</w:t>
      </w:r>
      <w:r w:rsidR="005B039A" w:rsidRPr="00847882">
        <w:rPr>
          <w:color w:val="215E99" w:themeColor="text2" w:themeTint="BF"/>
        </w:rPr>
        <w:t xml:space="preserve"> carcass used to </w:t>
      </w:r>
      <w:r w:rsidR="004A509B" w:rsidRPr="00847882">
        <w:rPr>
          <w:color w:val="215E99" w:themeColor="text2" w:themeTint="BF"/>
        </w:rPr>
        <w:t>calculate</w:t>
      </w:r>
      <w:r w:rsidR="005B039A" w:rsidRPr="00847882">
        <w:rPr>
          <w:color w:val="215E99" w:themeColor="text2" w:themeTint="BF"/>
        </w:rPr>
        <w:t xml:space="preserve"> the net </w:t>
      </w:r>
      <w:r w:rsidR="00696046" w:rsidRPr="00847882">
        <w:rPr>
          <w:color w:val="215E99" w:themeColor="text2" w:themeTint="BF"/>
        </w:rPr>
        <w:t xml:space="preserve">sales </w:t>
      </w:r>
      <w:r w:rsidR="005B039A" w:rsidRPr="00847882">
        <w:rPr>
          <w:color w:val="215E99" w:themeColor="text2" w:themeTint="BF"/>
        </w:rPr>
        <w:t>price.</w:t>
      </w:r>
      <w:r w:rsidR="001A1077" w:rsidRPr="00847882">
        <w:rPr>
          <w:color w:val="215E99" w:themeColor="text2" w:themeTint="BF"/>
        </w:rPr>
        <w:t xml:space="preserve"> Also post TC E408 to recognize Cost of Goods Sold.</w:t>
      </w:r>
      <w:r w:rsidR="007212E3" w:rsidRPr="00847882">
        <w:rPr>
          <w:color w:val="215E99" w:themeColor="text2" w:themeTint="BF"/>
        </w:rPr>
        <w:t xml:space="preserve"> When the unit is ultimately traded in, the providing entity should </w:t>
      </w:r>
      <w:r w:rsidR="006E3856" w:rsidRPr="00847882">
        <w:rPr>
          <w:color w:val="215E99" w:themeColor="text2" w:themeTint="BF"/>
        </w:rPr>
        <w:t>post</w:t>
      </w:r>
      <w:r w:rsidR="007212E3" w:rsidRPr="00847882">
        <w:rPr>
          <w:color w:val="215E99" w:themeColor="text2" w:themeTint="BF"/>
        </w:rPr>
        <w:t xml:space="preserve"> TC E439.</w:t>
      </w:r>
    </w:p>
    <w:p w14:paraId="1D7102D7" w14:textId="77777777" w:rsidR="006A7D17" w:rsidRDefault="006A7D17" w:rsidP="000310D8">
      <w:pPr>
        <w:pStyle w:val="TableParagraph"/>
        <w:ind w:right="163"/>
        <w:jc w:val="both"/>
        <w:rPr>
          <w:color w:val="215E99" w:themeColor="text2" w:themeTint="BF"/>
        </w:rPr>
      </w:pPr>
    </w:p>
    <w:p w14:paraId="3C6BA2F6" w14:textId="60433962" w:rsidR="00D82840" w:rsidRDefault="001F068A" w:rsidP="000310D8">
      <w:pPr>
        <w:pStyle w:val="TableParagraph"/>
        <w:ind w:right="163"/>
        <w:jc w:val="both"/>
        <w:rPr>
          <w:color w:val="215E99" w:themeColor="text2" w:themeTint="BF"/>
        </w:rPr>
      </w:pPr>
      <w:r w:rsidRPr="004A509B">
        <w:rPr>
          <w:color w:val="215E99" w:themeColor="text2" w:themeTint="BF"/>
        </w:rPr>
        <w:t>This entry only depicts a trade-in of inventory units using the direct inventory method</w:t>
      </w:r>
      <w:r w:rsidR="004A509B" w:rsidRPr="004A509B">
        <w:rPr>
          <w:color w:val="215E99" w:themeColor="text2" w:themeTint="BF"/>
        </w:rPr>
        <w:t>; a</w:t>
      </w:r>
      <w:r w:rsidRPr="004A509B">
        <w:rPr>
          <w:color w:val="215E99" w:themeColor="text2" w:themeTint="BF"/>
        </w:rPr>
        <w:t>n entry for indirect cost is not included.</w:t>
      </w:r>
    </w:p>
    <w:p w14:paraId="1FDDED49" w14:textId="77777777" w:rsidR="00D82840" w:rsidRDefault="00D82840" w:rsidP="000310D8">
      <w:pPr>
        <w:pStyle w:val="TableParagraph"/>
        <w:ind w:right="163"/>
        <w:jc w:val="both"/>
        <w:rPr>
          <w:color w:val="215E99" w:themeColor="text2" w:themeTint="BF"/>
        </w:rPr>
      </w:pPr>
    </w:p>
    <w:p w14:paraId="47A28AE9" w14:textId="0E44424C" w:rsidR="005B039A" w:rsidRPr="004A509B" w:rsidRDefault="00D82840" w:rsidP="000310D8">
      <w:pPr>
        <w:pStyle w:val="TableParagraph"/>
        <w:ind w:right="163"/>
        <w:jc w:val="both"/>
        <w:rPr>
          <w:color w:val="215E99" w:themeColor="text2" w:themeTint="BF"/>
        </w:rPr>
      </w:pPr>
      <w:r w:rsidRPr="00903C09">
        <w:rPr>
          <w:color w:val="215E99" w:themeColor="text2" w:themeTint="BF"/>
        </w:rPr>
        <w:t xml:space="preserve">Since the repairable item is already fully expensed inventory, the trade-in for future credit </w:t>
      </w:r>
      <w:r w:rsidR="00836BD3">
        <w:rPr>
          <w:color w:val="215E99" w:themeColor="text2" w:themeTint="BF"/>
        </w:rPr>
        <w:t xml:space="preserve">portion of the sale </w:t>
      </w:r>
      <w:r w:rsidRPr="00903C09">
        <w:rPr>
          <w:color w:val="215E99" w:themeColor="text2" w:themeTint="BF"/>
        </w:rPr>
        <w:t xml:space="preserve">does not represent a budgetary resource. </w:t>
      </w:r>
      <w:r w:rsidR="005F771E">
        <w:rPr>
          <w:color w:val="215E99" w:themeColor="text2" w:themeTint="BF"/>
        </w:rPr>
        <w:t xml:space="preserve">Budgetary resources represent the cash proceeds of the sale, not the value of the traded-in inventory. </w:t>
      </w:r>
      <w:r w:rsidR="00674024" w:rsidRPr="004A509B">
        <w:rPr>
          <w:color w:val="215E99" w:themeColor="text2" w:themeTint="BF"/>
        </w:rPr>
        <w:t>While it is acceptable to credit USSGL account 422100 in this situation, it is never acceptable for the balance in USSGL account 422100 to be a credit.</w:t>
      </w:r>
    </w:p>
    <w:p w14:paraId="41B7E955" w14:textId="77777777" w:rsidR="005B039A" w:rsidRPr="00865DCF" w:rsidRDefault="005B039A" w:rsidP="005B039A">
      <w:pPr>
        <w:pStyle w:val="TableParagraph"/>
        <w:ind w:left="720" w:right="163"/>
      </w:pPr>
    </w:p>
    <w:p w14:paraId="477F2FCE" w14:textId="77777777" w:rsidR="005B039A" w:rsidRPr="00865DCF" w:rsidRDefault="005B039A" w:rsidP="005B039A">
      <w:pPr>
        <w:pStyle w:val="TableParagraph"/>
        <w:ind w:right="163"/>
      </w:pPr>
      <w:r w:rsidRPr="00865DCF">
        <w:rPr>
          <w:b/>
          <w:bCs/>
        </w:rPr>
        <w:t>Budgetary Entry</w:t>
      </w:r>
    </w:p>
    <w:p w14:paraId="7559C813" w14:textId="77777777" w:rsidR="005B039A" w:rsidRPr="00865DCF" w:rsidRDefault="005B039A" w:rsidP="005B039A">
      <w:pPr>
        <w:pStyle w:val="TableParagraph"/>
        <w:ind w:right="163"/>
      </w:pPr>
      <w:r w:rsidRPr="00865DCF">
        <w:t xml:space="preserve">Debit 425100 </w:t>
      </w:r>
      <w:r>
        <w:t xml:space="preserve">  </w:t>
      </w:r>
      <w:r w:rsidRPr="00865DCF">
        <w:t>Reimbursements Earned – Receivable</w:t>
      </w:r>
    </w:p>
    <w:p w14:paraId="105D83BB" w14:textId="5AE2D8BB" w:rsidR="005B039A" w:rsidRPr="00865DCF" w:rsidRDefault="005B039A" w:rsidP="005B039A">
      <w:pPr>
        <w:pStyle w:val="TableParagraph"/>
        <w:ind w:right="163" w:firstLine="720"/>
      </w:pPr>
      <w:r w:rsidRPr="00865DCF">
        <w:t xml:space="preserve">Credit 422100  </w:t>
      </w:r>
      <w:r>
        <w:t xml:space="preserve"> </w:t>
      </w:r>
      <w:r w:rsidRPr="00865DCF">
        <w:t>Unfilled Customer Orders Without Advance</w:t>
      </w:r>
    </w:p>
    <w:p w14:paraId="6E93561A" w14:textId="77777777" w:rsidR="005B039A" w:rsidRPr="00865DCF" w:rsidRDefault="005B039A" w:rsidP="005B039A">
      <w:pPr>
        <w:pStyle w:val="TableParagraph"/>
        <w:ind w:left="720" w:right="163"/>
      </w:pPr>
    </w:p>
    <w:p w14:paraId="255B13FD" w14:textId="77777777" w:rsidR="005B039A" w:rsidRPr="00D82840" w:rsidRDefault="005B039A" w:rsidP="005B039A">
      <w:pPr>
        <w:pStyle w:val="TableParagraph"/>
        <w:ind w:right="163"/>
      </w:pPr>
      <w:r w:rsidRPr="00D82840">
        <w:rPr>
          <w:b/>
          <w:bCs/>
        </w:rPr>
        <w:t>Proprietary Entry</w:t>
      </w:r>
      <w:r w:rsidRPr="00D82840">
        <w:t xml:space="preserve">  </w:t>
      </w:r>
    </w:p>
    <w:p w14:paraId="321AA428" w14:textId="77777777" w:rsidR="005B039A" w:rsidRPr="00D82840" w:rsidRDefault="005B039A" w:rsidP="005B039A">
      <w:pPr>
        <w:pStyle w:val="TableParagraph"/>
        <w:ind w:right="163"/>
      </w:pPr>
      <w:r w:rsidRPr="00D82840">
        <w:t>Debit 131000   Accounts Receivable</w:t>
      </w:r>
    </w:p>
    <w:p w14:paraId="431864CD" w14:textId="5E535CB9" w:rsidR="005B039A" w:rsidRPr="00847882" w:rsidRDefault="005B039A" w:rsidP="005B039A">
      <w:pPr>
        <w:pStyle w:val="TableParagraph"/>
        <w:ind w:right="163"/>
        <w:rPr>
          <w:color w:val="215E99" w:themeColor="text2" w:themeTint="BF"/>
        </w:rPr>
      </w:pPr>
      <w:r w:rsidRPr="00847882">
        <w:rPr>
          <w:color w:val="215E99" w:themeColor="text2" w:themeTint="BF"/>
        </w:rPr>
        <w:t xml:space="preserve">Debit </w:t>
      </w:r>
      <w:r w:rsidR="00847882">
        <w:rPr>
          <w:color w:val="215E99" w:themeColor="text2" w:themeTint="BF"/>
        </w:rPr>
        <w:t>133900</w:t>
      </w:r>
      <w:r w:rsidRPr="00847882">
        <w:rPr>
          <w:color w:val="215E99" w:themeColor="text2" w:themeTint="BF"/>
        </w:rPr>
        <w:t xml:space="preserve">   Future Exchange Credit Receivable</w:t>
      </w:r>
    </w:p>
    <w:p w14:paraId="682E3FB5" w14:textId="0D93F92A" w:rsidR="005B039A" w:rsidRPr="00847882" w:rsidRDefault="005B039A" w:rsidP="005B039A">
      <w:pPr>
        <w:pStyle w:val="TableParagraph"/>
        <w:ind w:right="163"/>
        <w:rPr>
          <w:color w:val="215E99" w:themeColor="text2" w:themeTint="BF"/>
        </w:rPr>
      </w:pPr>
      <w:r w:rsidRPr="00847882">
        <w:rPr>
          <w:color w:val="215E99" w:themeColor="text2" w:themeTint="BF"/>
        </w:rPr>
        <w:t xml:space="preserve">Debit </w:t>
      </w:r>
      <w:r w:rsidR="00847882">
        <w:rPr>
          <w:color w:val="215E99" w:themeColor="text2" w:themeTint="BF"/>
        </w:rPr>
        <w:t>293900</w:t>
      </w:r>
      <w:r w:rsidRPr="00847882">
        <w:rPr>
          <w:color w:val="215E99" w:themeColor="text2" w:themeTint="BF"/>
        </w:rPr>
        <w:t xml:space="preserve">   Liability</w:t>
      </w:r>
      <w:r w:rsidR="00847882">
        <w:rPr>
          <w:color w:val="215E99" w:themeColor="text2" w:themeTint="BF"/>
        </w:rPr>
        <w:t xml:space="preserve"> </w:t>
      </w:r>
      <w:proofErr w:type="gramStart"/>
      <w:r w:rsidR="00847882">
        <w:rPr>
          <w:color w:val="215E99" w:themeColor="text2" w:themeTint="BF"/>
        </w:rPr>
        <w:t>For</w:t>
      </w:r>
      <w:proofErr w:type="gramEnd"/>
      <w:r w:rsidRPr="00847882">
        <w:rPr>
          <w:color w:val="215E99" w:themeColor="text2" w:themeTint="BF"/>
        </w:rPr>
        <w:t xml:space="preserve"> Future Exchange</w:t>
      </w:r>
    </w:p>
    <w:p w14:paraId="164380FD" w14:textId="77777777" w:rsidR="005B039A" w:rsidRPr="00D82840" w:rsidRDefault="005B039A" w:rsidP="005B039A">
      <w:pPr>
        <w:pStyle w:val="TableParagraph"/>
        <w:ind w:right="163" w:firstLine="720"/>
      </w:pPr>
      <w:r w:rsidRPr="00D82840">
        <w:t>Credit 510000   Revenue from Goods Sold</w:t>
      </w:r>
    </w:p>
    <w:p w14:paraId="46A23EC6" w14:textId="55B8312D" w:rsidR="008A11E4" w:rsidRDefault="005B039A" w:rsidP="005B039A">
      <w:pPr>
        <w:pStyle w:val="TableParagraph"/>
        <w:ind w:right="163" w:firstLine="720"/>
      </w:pPr>
      <w:r w:rsidRPr="00D82840">
        <w:t>Credit 579000   Other Financing Sources</w:t>
      </w:r>
    </w:p>
    <w:p w14:paraId="23A81B3E" w14:textId="77777777" w:rsidR="000476FB" w:rsidRDefault="000476FB" w:rsidP="005B039A">
      <w:pPr>
        <w:pStyle w:val="TableParagraph"/>
        <w:ind w:right="163" w:firstLine="720"/>
      </w:pPr>
    </w:p>
    <w:p w14:paraId="778D34F1" w14:textId="77777777" w:rsidR="000476FB" w:rsidRDefault="000476FB" w:rsidP="005B039A">
      <w:pPr>
        <w:pStyle w:val="TableParagraph"/>
        <w:ind w:right="163" w:firstLine="720"/>
      </w:pPr>
    </w:p>
    <w:p w14:paraId="2F3AF5AB" w14:textId="77777777" w:rsidR="000476FB" w:rsidRDefault="000476FB" w:rsidP="005B039A">
      <w:pPr>
        <w:pStyle w:val="TableParagraph"/>
        <w:ind w:right="163" w:firstLine="720"/>
      </w:pPr>
    </w:p>
    <w:p w14:paraId="152A8298" w14:textId="77777777" w:rsidR="000476FB" w:rsidRDefault="000476FB" w:rsidP="005B039A">
      <w:pPr>
        <w:pStyle w:val="TableParagraph"/>
        <w:ind w:right="163" w:firstLine="720"/>
      </w:pPr>
    </w:p>
    <w:p w14:paraId="3B190FF9" w14:textId="77777777" w:rsidR="000476FB" w:rsidRDefault="000476FB" w:rsidP="005B039A">
      <w:pPr>
        <w:pStyle w:val="TableParagraph"/>
        <w:ind w:right="163" w:firstLine="720"/>
      </w:pPr>
    </w:p>
    <w:p w14:paraId="3B42126F" w14:textId="77777777" w:rsidR="006C5993" w:rsidRDefault="006C5993" w:rsidP="005B039A">
      <w:pPr>
        <w:pStyle w:val="TableParagraph"/>
        <w:ind w:right="163" w:firstLine="720"/>
      </w:pPr>
    </w:p>
    <w:p w14:paraId="117809A4" w14:textId="77777777" w:rsidR="006C5993" w:rsidRDefault="006C5993" w:rsidP="005B039A">
      <w:pPr>
        <w:pStyle w:val="TableParagraph"/>
        <w:ind w:right="163" w:firstLine="720"/>
      </w:pPr>
    </w:p>
    <w:p w14:paraId="0C894C74" w14:textId="77777777" w:rsidR="006C5993" w:rsidRDefault="006C5993" w:rsidP="005B039A">
      <w:pPr>
        <w:pStyle w:val="TableParagraph"/>
        <w:ind w:right="163" w:firstLine="720"/>
      </w:pPr>
    </w:p>
    <w:p w14:paraId="274B6114" w14:textId="77777777" w:rsidR="003C3ED5" w:rsidRDefault="003C3ED5" w:rsidP="005B039A">
      <w:pPr>
        <w:pStyle w:val="TableParagraph"/>
        <w:ind w:right="163" w:firstLine="720"/>
      </w:pPr>
    </w:p>
    <w:p w14:paraId="1DB61B93" w14:textId="77777777" w:rsidR="004A509B" w:rsidRDefault="004A509B" w:rsidP="005B039A">
      <w:pPr>
        <w:pStyle w:val="TableParagraph"/>
        <w:ind w:right="163" w:firstLine="720"/>
      </w:pPr>
    </w:p>
    <w:p w14:paraId="76A59F9B" w14:textId="77777777" w:rsidR="00491A54" w:rsidRDefault="00491A54" w:rsidP="005B039A">
      <w:pPr>
        <w:pStyle w:val="TableParagraph"/>
        <w:ind w:right="163" w:firstLine="720"/>
      </w:pPr>
    </w:p>
    <w:p w14:paraId="6885EE92" w14:textId="77777777" w:rsidR="00491A54" w:rsidRDefault="00491A54" w:rsidP="005B039A">
      <w:pPr>
        <w:pStyle w:val="TableParagraph"/>
        <w:ind w:right="163" w:firstLine="720"/>
      </w:pPr>
    </w:p>
    <w:p w14:paraId="593EF9A0" w14:textId="77777777" w:rsidR="00D82840" w:rsidRDefault="00D82840" w:rsidP="005B039A">
      <w:pPr>
        <w:pStyle w:val="TableParagraph"/>
        <w:ind w:right="163" w:firstLine="720"/>
      </w:pPr>
    </w:p>
    <w:p w14:paraId="4855C471" w14:textId="77777777" w:rsidR="00D82840" w:rsidRDefault="00D82840" w:rsidP="005B039A">
      <w:pPr>
        <w:pStyle w:val="TableParagraph"/>
        <w:ind w:right="163" w:firstLine="720"/>
      </w:pPr>
    </w:p>
    <w:p w14:paraId="38FC257D" w14:textId="77777777" w:rsidR="001B531F" w:rsidRDefault="001B531F" w:rsidP="00491A54">
      <w:pPr>
        <w:pStyle w:val="TableParagraph"/>
        <w:ind w:right="163"/>
      </w:pPr>
    </w:p>
    <w:p w14:paraId="0C3DA09D" w14:textId="24C17AB8" w:rsidR="00491A54" w:rsidRPr="009F730A" w:rsidRDefault="009F730A" w:rsidP="000310D8">
      <w:pPr>
        <w:pStyle w:val="TableParagraph"/>
        <w:ind w:right="163"/>
        <w:jc w:val="both"/>
        <w:rPr>
          <w:color w:val="215E99" w:themeColor="text2" w:themeTint="BF"/>
        </w:rPr>
      </w:pPr>
      <w:r>
        <w:rPr>
          <w:b/>
          <w:bCs/>
        </w:rPr>
        <w:t>2</w:t>
      </w:r>
      <w:r w:rsidRPr="009F730A">
        <w:rPr>
          <w:b/>
          <w:bCs/>
        </w:rPr>
        <w:t xml:space="preserve">) </w:t>
      </w:r>
      <w:r w:rsidR="008D79DA">
        <w:rPr>
          <w:b/>
          <w:bCs/>
          <w:color w:val="215E99" w:themeColor="text2" w:themeTint="BF"/>
        </w:rPr>
        <w:t>E439</w:t>
      </w:r>
      <w:r w:rsidR="00491A54" w:rsidRPr="00A844FB">
        <w:rPr>
          <w:color w:val="215E99" w:themeColor="text2" w:themeTint="BF"/>
        </w:rPr>
        <w:t xml:space="preserve"> </w:t>
      </w:r>
      <w:r w:rsidR="00491A54" w:rsidRPr="00903C09">
        <w:rPr>
          <w:color w:val="215E99" w:themeColor="text2" w:themeTint="BF"/>
        </w:rPr>
        <w:t xml:space="preserve">To record </w:t>
      </w:r>
      <w:r w:rsidR="00491A54">
        <w:rPr>
          <w:color w:val="215E99" w:themeColor="text2" w:themeTint="BF"/>
        </w:rPr>
        <w:t xml:space="preserve">the </w:t>
      </w:r>
      <w:r w:rsidR="00083104">
        <w:rPr>
          <w:color w:val="215E99" w:themeColor="text2" w:themeTint="BF"/>
        </w:rPr>
        <w:t>physical</w:t>
      </w:r>
      <w:r w:rsidR="00491A54">
        <w:rPr>
          <w:color w:val="215E99" w:themeColor="text2" w:themeTint="BF"/>
        </w:rPr>
        <w:t xml:space="preserve"> trade-in of a</w:t>
      </w:r>
      <w:r w:rsidR="00491A54" w:rsidRPr="00903C09">
        <w:rPr>
          <w:color w:val="215E99" w:themeColor="text2" w:themeTint="BF"/>
        </w:rPr>
        <w:t xml:space="preserve"> repairable unit of inventory </w:t>
      </w:r>
      <w:r w:rsidR="00491A54" w:rsidRPr="004E2F1B">
        <w:rPr>
          <w:color w:val="215E99" w:themeColor="text2" w:themeTint="BF"/>
        </w:rPr>
        <w:t xml:space="preserve">in which the </w:t>
      </w:r>
      <w:r w:rsidR="00491A54">
        <w:rPr>
          <w:color w:val="215E99" w:themeColor="text2" w:themeTint="BF"/>
        </w:rPr>
        <w:t xml:space="preserve">providing entity receives an </w:t>
      </w:r>
      <w:r w:rsidR="00491A54" w:rsidRPr="004E2F1B">
        <w:rPr>
          <w:color w:val="215E99" w:themeColor="text2" w:themeTint="BF"/>
        </w:rPr>
        <w:t xml:space="preserve">older unit </w:t>
      </w:r>
      <w:r w:rsidR="00491A54">
        <w:rPr>
          <w:color w:val="215E99" w:themeColor="text2" w:themeTint="BF"/>
        </w:rPr>
        <w:t xml:space="preserve">in advance of or in anticipation of the sale of </w:t>
      </w:r>
      <w:r w:rsidR="00491A54" w:rsidRPr="004E2F1B">
        <w:rPr>
          <w:color w:val="215E99" w:themeColor="text2" w:themeTint="BF"/>
        </w:rPr>
        <w:t xml:space="preserve">a </w:t>
      </w:r>
      <w:proofErr w:type="gramStart"/>
      <w:r w:rsidR="00491A54">
        <w:rPr>
          <w:color w:val="215E99" w:themeColor="text2" w:themeTint="BF"/>
        </w:rPr>
        <w:t>new,</w:t>
      </w:r>
      <w:proofErr w:type="gramEnd"/>
      <w:r w:rsidR="00491A54">
        <w:rPr>
          <w:color w:val="215E99" w:themeColor="text2" w:themeTint="BF"/>
        </w:rPr>
        <w:t xml:space="preserve"> replacement</w:t>
      </w:r>
      <w:r w:rsidR="00491A54" w:rsidRPr="004E2F1B">
        <w:rPr>
          <w:color w:val="215E99" w:themeColor="text2" w:themeTint="BF"/>
        </w:rPr>
        <w:t xml:space="preserve"> unit</w:t>
      </w:r>
      <w:r w:rsidR="00491A54">
        <w:rPr>
          <w:color w:val="215E99" w:themeColor="text2" w:themeTint="BF"/>
        </w:rPr>
        <w:t>, and t</w:t>
      </w:r>
      <w:r w:rsidR="00491A54" w:rsidRPr="004E2F1B">
        <w:rPr>
          <w:color w:val="215E99" w:themeColor="text2" w:themeTint="BF"/>
        </w:rPr>
        <w:t xml:space="preserve">he </w:t>
      </w:r>
      <w:r w:rsidR="00491A54">
        <w:rPr>
          <w:color w:val="215E99" w:themeColor="text2" w:themeTint="BF"/>
        </w:rPr>
        <w:t xml:space="preserve">fair </w:t>
      </w:r>
      <w:r w:rsidR="00491A54" w:rsidRPr="004E2F1B">
        <w:rPr>
          <w:color w:val="215E99" w:themeColor="text2" w:themeTint="BF"/>
        </w:rPr>
        <w:t>value of the older unit is credited against the</w:t>
      </w:r>
      <w:r w:rsidR="00491A54">
        <w:rPr>
          <w:color w:val="215E99" w:themeColor="text2" w:themeTint="BF"/>
        </w:rPr>
        <w:t xml:space="preserve"> </w:t>
      </w:r>
      <w:r w:rsidR="00491A54" w:rsidRPr="004E2F1B">
        <w:rPr>
          <w:color w:val="215E99" w:themeColor="text2" w:themeTint="BF"/>
        </w:rPr>
        <w:t>sales price</w:t>
      </w:r>
      <w:r w:rsidR="00491A54">
        <w:rPr>
          <w:color w:val="215E99" w:themeColor="text2" w:themeTint="BF"/>
        </w:rPr>
        <w:t xml:space="preserve"> of a </w:t>
      </w:r>
      <w:r w:rsidR="00A058E6">
        <w:rPr>
          <w:color w:val="215E99" w:themeColor="text2" w:themeTint="BF"/>
        </w:rPr>
        <w:t xml:space="preserve">future </w:t>
      </w:r>
      <w:r w:rsidR="006E45F1" w:rsidRPr="009F730A">
        <w:rPr>
          <w:color w:val="215E99" w:themeColor="text2" w:themeTint="BF"/>
        </w:rPr>
        <w:t>exchange</w:t>
      </w:r>
      <w:r w:rsidR="00A058E6" w:rsidRPr="009F730A">
        <w:rPr>
          <w:color w:val="215E99" w:themeColor="text2" w:themeTint="BF"/>
        </w:rPr>
        <w:t xml:space="preserve"> transaction</w:t>
      </w:r>
      <w:r w:rsidR="00491A54" w:rsidRPr="009F730A">
        <w:rPr>
          <w:color w:val="215E99" w:themeColor="text2" w:themeTint="BF"/>
        </w:rPr>
        <w:t>.</w:t>
      </w:r>
    </w:p>
    <w:p w14:paraId="334760E2" w14:textId="77777777" w:rsidR="00491A54" w:rsidRPr="009F730A" w:rsidRDefault="00491A54" w:rsidP="000310D8">
      <w:pPr>
        <w:pStyle w:val="TableParagraph"/>
        <w:ind w:right="163"/>
        <w:jc w:val="both"/>
      </w:pPr>
    </w:p>
    <w:p w14:paraId="6B97F964" w14:textId="4E70512F" w:rsidR="00491A54" w:rsidRPr="009F730A" w:rsidRDefault="00491A54" w:rsidP="000310D8">
      <w:pPr>
        <w:pStyle w:val="TableParagraph"/>
        <w:ind w:right="163"/>
        <w:jc w:val="both"/>
        <w:rPr>
          <w:color w:val="215E99" w:themeColor="text2" w:themeTint="BF"/>
        </w:rPr>
      </w:pPr>
      <w:r w:rsidRPr="009F730A">
        <w:rPr>
          <w:b/>
          <w:bCs/>
          <w:color w:val="215E99" w:themeColor="text2" w:themeTint="BF"/>
        </w:rPr>
        <w:t>Comment:</w:t>
      </w:r>
      <w:r w:rsidRPr="009F730A">
        <w:rPr>
          <w:color w:val="215E99" w:themeColor="text2" w:themeTint="BF"/>
        </w:rPr>
        <w:t xml:space="preserve"> </w:t>
      </w:r>
      <w:r w:rsidR="00D10D74" w:rsidRPr="009F730A">
        <w:rPr>
          <w:color w:val="215E99" w:themeColor="text2" w:themeTint="BF"/>
        </w:rPr>
        <w:t xml:space="preserve">For cases in which </w:t>
      </w:r>
      <w:r w:rsidRPr="009F730A">
        <w:rPr>
          <w:color w:val="215E99" w:themeColor="text2" w:themeTint="BF"/>
        </w:rPr>
        <w:t xml:space="preserve">the providing entity receives </w:t>
      </w:r>
      <w:r w:rsidR="00D6173C" w:rsidRPr="009F730A">
        <w:rPr>
          <w:color w:val="215E99" w:themeColor="text2" w:themeTint="BF"/>
        </w:rPr>
        <w:t xml:space="preserve">a </w:t>
      </w:r>
      <w:r w:rsidRPr="009F730A">
        <w:rPr>
          <w:color w:val="215E99" w:themeColor="text2" w:themeTint="BF"/>
        </w:rPr>
        <w:t xml:space="preserve">repairable </w:t>
      </w:r>
      <w:r w:rsidR="00D6173C" w:rsidRPr="009F730A">
        <w:rPr>
          <w:color w:val="215E99" w:themeColor="text2" w:themeTint="BF"/>
        </w:rPr>
        <w:t xml:space="preserve">inventory </w:t>
      </w:r>
      <w:r w:rsidRPr="009F730A">
        <w:rPr>
          <w:color w:val="215E99" w:themeColor="text2" w:themeTint="BF"/>
        </w:rPr>
        <w:t>unit from another federal entity</w:t>
      </w:r>
      <w:r w:rsidR="00A50470" w:rsidRPr="009F730A">
        <w:rPr>
          <w:color w:val="215E99" w:themeColor="text2" w:themeTint="BF"/>
        </w:rPr>
        <w:t xml:space="preserve"> unrelated to an existing purchase order, </w:t>
      </w:r>
      <w:r w:rsidR="00D6173C" w:rsidRPr="009F730A">
        <w:rPr>
          <w:color w:val="215E99" w:themeColor="text2" w:themeTint="BF"/>
        </w:rPr>
        <w:t>the providing entity</w:t>
      </w:r>
      <w:r w:rsidRPr="009F730A">
        <w:rPr>
          <w:color w:val="215E99" w:themeColor="text2" w:themeTint="BF"/>
        </w:rPr>
        <w:t xml:space="preserve"> should credit SGL </w:t>
      </w:r>
      <w:r w:rsidR="009F730A" w:rsidRPr="009F730A">
        <w:rPr>
          <w:color w:val="215E99" w:themeColor="text2" w:themeTint="BF"/>
        </w:rPr>
        <w:t>293900</w:t>
      </w:r>
      <w:r w:rsidR="00A50470" w:rsidRPr="009F730A">
        <w:rPr>
          <w:color w:val="215E99" w:themeColor="text2" w:themeTint="BF"/>
        </w:rPr>
        <w:t xml:space="preserve"> below</w:t>
      </w:r>
      <w:r w:rsidRPr="009F730A">
        <w:rPr>
          <w:color w:val="215E99" w:themeColor="text2" w:themeTint="BF"/>
        </w:rPr>
        <w:t xml:space="preserve"> to recognize a liability for </w:t>
      </w:r>
      <w:r w:rsidR="00D6173C" w:rsidRPr="009F730A">
        <w:rPr>
          <w:color w:val="215E99" w:themeColor="text2" w:themeTint="BF"/>
        </w:rPr>
        <w:t>the trade-in value</w:t>
      </w:r>
      <w:r w:rsidRPr="009F730A">
        <w:rPr>
          <w:color w:val="215E99" w:themeColor="text2" w:themeTint="BF"/>
        </w:rPr>
        <w:t xml:space="preserve"> to be applied on a future exchange transaction.</w:t>
      </w:r>
      <w:r w:rsidR="00D411E1" w:rsidRPr="009F730A">
        <w:rPr>
          <w:color w:val="215E99" w:themeColor="text2" w:themeTint="BF"/>
        </w:rPr>
        <w:t xml:space="preserve"> When the order is established and replacement unit is sold, </w:t>
      </w:r>
      <w:r w:rsidR="00C73556" w:rsidRPr="009F730A">
        <w:rPr>
          <w:color w:val="215E99" w:themeColor="text2" w:themeTint="BF"/>
        </w:rPr>
        <w:t>the providing entity should post</w:t>
      </w:r>
      <w:r w:rsidR="00D411E1" w:rsidRPr="009F730A">
        <w:rPr>
          <w:color w:val="215E99" w:themeColor="text2" w:themeTint="BF"/>
        </w:rPr>
        <w:t xml:space="preserve"> TC C439.</w:t>
      </w:r>
    </w:p>
    <w:p w14:paraId="5E8B4151" w14:textId="77777777" w:rsidR="006C029B" w:rsidRPr="009F730A" w:rsidRDefault="006C029B" w:rsidP="000310D8">
      <w:pPr>
        <w:pStyle w:val="TableParagraph"/>
        <w:ind w:right="163"/>
        <w:jc w:val="both"/>
        <w:rPr>
          <w:color w:val="215E99" w:themeColor="text2" w:themeTint="BF"/>
        </w:rPr>
      </w:pPr>
    </w:p>
    <w:p w14:paraId="35BDA9D4" w14:textId="78F83828" w:rsidR="006C029B" w:rsidRPr="00903C09" w:rsidRDefault="003E683D" w:rsidP="000310D8">
      <w:pPr>
        <w:pStyle w:val="TableParagraph"/>
        <w:ind w:right="163"/>
        <w:jc w:val="both"/>
        <w:rPr>
          <w:color w:val="215E99" w:themeColor="text2" w:themeTint="BF"/>
        </w:rPr>
      </w:pPr>
      <w:r w:rsidRPr="009F730A">
        <w:rPr>
          <w:color w:val="215E99" w:themeColor="text2" w:themeTint="BF"/>
        </w:rPr>
        <w:t xml:space="preserve">When the providing entity sells a replacement unit to the receiving entity, but the older carcass unit remains “due-in”, it initially recognizes a receivable for the future exchange of the turned-in inventory carcass unit- See TC C439. At the time the “due-in” </w:t>
      </w:r>
      <w:r w:rsidR="006C029B" w:rsidRPr="009F730A">
        <w:rPr>
          <w:color w:val="215E99" w:themeColor="text2" w:themeTint="BF"/>
        </w:rPr>
        <w:t xml:space="preserve">carcass </w:t>
      </w:r>
      <w:r w:rsidR="00F72CAA" w:rsidRPr="009F730A">
        <w:rPr>
          <w:color w:val="215E99" w:themeColor="text2" w:themeTint="BF"/>
        </w:rPr>
        <w:t>unit</w:t>
      </w:r>
      <w:r w:rsidRPr="009F730A">
        <w:rPr>
          <w:color w:val="215E99" w:themeColor="text2" w:themeTint="BF"/>
        </w:rPr>
        <w:t xml:space="preserve"> is ultimately turned in</w:t>
      </w:r>
      <w:r w:rsidR="008014B8" w:rsidRPr="009F730A">
        <w:rPr>
          <w:color w:val="215E99" w:themeColor="text2" w:themeTint="BF"/>
        </w:rPr>
        <w:t xml:space="preserve">, the providing entity should credit SGL </w:t>
      </w:r>
      <w:r w:rsidR="009F730A" w:rsidRPr="009F730A">
        <w:rPr>
          <w:color w:val="215E99" w:themeColor="text2" w:themeTint="BF"/>
        </w:rPr>
        <w:t>133900</w:t>
      </w:r>
      <w:r w:rsidR="008014B8" w:rsidRPr="009F730A">
        <w:rPr>
          <w:color w:val="215E99" w:themeColor="text2" w:themeTint="BF"/>
        </w:rPr>
        <w:t xml:space="preserve"> to reduce the previously recorded receivable</w:t>
      </w:r>
      <w:r w:rsidRPr="009F730A">
        <w:rPr>
          <w:color w:val="215E99" w:themeColor="text2" w:themeTint="BF"/>
        </w:rPr>
        <w:t>.</w:t>
      </w:r>
    </w:p>
    <w:p w14:paraId="40476B16" w14:textId="77777777" w:rsidR="00491A54" w:rsidRPr="004A509B" w:rsidRDefault="00491A54" w:rsidP="000310D8">
      <w:pPr>
        <w:pStyle w:val="TableParagraph"/>
        <w:ind w:right="163"/>
        <w:jc w:val="both"/>
        <w:rPr>
          <w:color w:val="215E99" w:themeColor="text2" w:themeTint="BF"/>
        </w:rPr>
      </w:pPr>
    </w:p>
    <w:p w14:paraId="0EE40B47" w14:textId="5B2AC865" w:rsidR="00491A54" w:rsidRPr="004A509B" w:rsidRDefault="00491A54" w:rsidP="000310D8">
      <w:pPr>
        <w:pStyle w:val="TableParagraph"/>
        <w:ind w:right="163"/>
        <w:jc w:val="both"/>
        <w:rPr>
          <w:color w:val="215E99" w:themeColor="text2" w:themeTint="BF"/>
        </w:rPr>
      </w:pPr>
      <w:r w:rsidRPr="004A509B">
        <w:rPr>
          <w:color w:val="215E99" w:themeColor="text2" w:themeTint="BF"/>
        </w:rPr>
        <w:t>This entry only depicts a trade-in of inventory units using the direct inventory method; an entry for indirect cost is not included.  Inventory carcass trade-ins unrelated to an existing order of new equipment have no budgetary impact.</w:t>
      </w:r>
    </w:p>
    <w:p w14:paraId="5D9165ED" w14:textId="77777777" w:rsidR="00491A54" w:rsidRPr="00865DCF" w:rsidRDefault="00491A54" w:rsidP="000310D8">
      <w:pPr>
        <w:pStyle w:val="TableParagraph"/>
        <w:ind w:left="720" w:right="163"/>
        <w:jc w:val="both"/>
      </w:pPr>
    </w:p>
    <w:p w14:paraId="2E002BB6" w14:textId="77777777" w:rsidR="00491A54" w:rsidRPr="00865DCF" w:rsidRDefault="00491A54" w:rsidP="00491A54">
      <w:pPr>
        <w:pStyle w:val="TableParagraph"/>
        <w:ind w:right="163"/>
      </w:pPr>
      <w:r w:rsidRPr="00865DCF">
        <w:rPr>
          <w:b/>
          <w:bCs/>
        </w:rPr>
        <w:t>Budgetary Entry</w:t>
      </w:r>
    </w:p>
    <w:p w14:paraId="3D964D54" w14:textId="68C2ED64" w:rsidR="00491A54" w:rsidRPr="00865DCF" w:rsidRDefault="00491A54" w:rsidP="00491A54">
      <w:pPr>
        <w:pStyle w:val="TableParagraph"/>
        <w:ind w:right="163"/>
      </w:pPr>
      <w:r>
        <w:t>None</w:t>
      </w:r>
    </w:p>
    <w:p w14:paraId="4A215426" w14:textId="77777777" w:rsidR="00491A54" w:rsidRPr="00865DCF" w:rsidRDefault="00491A54" w:rsidP="00491A54">
      <w:pPr>
        <w:pStyle w:val="TableParagraph"/>
        <w:ind w:left="720" w:right="163"/>
      </w:pPr>
    </w:p>
    <w:p w14:paraId="7BA61E54" w14:textId="77777777" w:rsidR="00491A54" w:rsidRPr="00865DCF" w:rsidRDefault="00491A54" w:rsidP="00491A54">
      <w:pPr>
        <w:pStyle w:val="TableParagraph"/>
        <w:ind w:right="163"/>
      </w:pPr>
      <w:r w:rsidRPr="00865DCF">
        <w:rPr>
          <w:b/>
          <w:bCs/>
        </w:rPr>
        <w:t>Proprietary Entry</w:t>
      </w:r>
      <w:r w:rsidRPr="00865DCF">
        <w:t xml:space="preserve">  </w:t>
      </w:r>
    </w:p>
    <w:p w14:paraId="2416994F" w14:textId="77777777" w:rsidR="00491A54" w:rsidRPr="004261D9" w:rsidRDefault="00491A54" w:rsidP="00491A54">
      <w:pPr>
        <w:pStyle w:val="TableParagraph"/>
        <w:ind w:right="163"/>
      </w:pPr>
      <w:r w:rsidRPr="004261D9">
        <w:t>Debit 152300   Inventory Held for Repair</w:t>
      </w:r>
    </w:p>
    <w:p w14:paraId="459F76D4" w14:textId="77777777" w:rsidR="00491A54" w:rsidRPr="009F730A" w:rsidRDefault="00491A54" w:rsidP="00491A54">
      <w:pPr>
        <w:pStyle w:val="TableParagraph"/>
        <w:ind w:right="163" w:firstLine="720"/>
        <w:rPr>
          <w:color w:val="215E99" w:themeColor="text2" w:themeTint="BF"/>
        </w:rPr>
      </w:pPr>
      <w:r w:rsidRPr="009F730A">
        <w:rPr>
          <w:color w:val="215E99" w:themeColor="text2" w:themeTint="BF"/>
        </w:rPr>
        <w:t>Credit 14xxxx   Future Exchange Credit Receivable</w:t>
      </w:r>
    </w:p>
    <w:p w14:paraId="119E6C60" w14:textId="77777777" w:rsidR="00491A54" w:rsidRPr="009F730A" w:rsidRDefault="00491A54" w:rsidP="00491A54">
      <w:pPr>
        <w:pStyle w:val="TableParagraph"/>
        <w:ind w:right="163" w:firstLine="720"/>
        <w:rPr>
          <w:color w:val="215E99" w:themeColor="text2" w:themeTint="BF"/>
        </w:rPr>
      </w:pPr>
      <w:r w:rsidRPr="009F730A">
        <w:rPr>
          <w:color w:val="215E99" w:themeColor="text2" w:themeTint="BF"/>
        </w:rPr>
        <w:t>Credit 29xxxx   Liability of Future Exchange</w:t>
      </w:r>
    </w:p>
    <w:p w14:paraId="2733E0A3" w14:textId="77777777" w:rsidR="00491A54" w:rsidRDefault="00491A54" w:rsidP="005B039A">
      <w:pPr>
        <w:pStyle w:val="TableParagraph"/>
        <w:ind w:right="163" w:firstLine="720"/>
      </w:pPr>
    </w:p>
    <w:p w14:paraId="0E5A147A" w14:textId="77777777" w:rsidR="004A509B" w:rsidRDefault="004A509B" w:rsidP="005B039A">
      <w:pPr>
        <w:pStyle w:val="TableParagraph"/>
        <w:ind w:right="163" w:firstLine="720"/>
      </w:pPr>
    </w:p>
    <w:p w14:paraId="7CBBFCB2" w14:textId="77777777" w:rsidR="00280F3C" w:rsidRDefault="00280F3C" w:rsidP="005B039A">
      <w:pPr>
        <w:pStyle w:val="TableParagraph"/>
        <w:ind w:right="163" w:firstLine="720"/>
      </w:pPr>
    </w:p>
    <w:p w14:paraId="1ABB77D7" w14:textId="77777777" w:rsidR="00280F3C" w:rsidRDefault="00280F3C" w:rsidP="005B039A">
      <w:pPr>
        <w:pStyle w:val="TableParagraph"/>
        <w:ind w:right="163" w:firstLine="720"/>
      </w:pPr>
    </w:p>
    <w:p w14:paraId="558F6F33" w14:textId="77777777" w:rsidR="00280F3C" w:rsidRDefault="00280F3C" w:rsidP="005B039A">
      <w:pPr>
        <w:pStyle w:val="TableParagraph"/>
        <w:ind w:right="163" w:firstLine="720"/>
      </w:pPr>
    </w:p>
    <w:p w14:paraId="63330DE4" w14:textId="77777777" w:rsidR="00280F3C" w:rsidRDefault="00280F3C" w:rsidP="005B039A">
      <w:pPr>
        <w:pStyle w:val="TableParagraph"/>
        <w:ind w:right="163" w:firstLine="720"/>
      </w:pPr>
    </w:p>
    <w:p w14:paraId="6C1EEBDB" w14:textId="77777777" w:rsidR="00280F3C" w:rsidRDefault="00280F3C" w:rsidP="005B039A">
      <w:pPr>
        <w:pStyle w:val="TableParagraph"/>
        <w:ind w:right="163" w:firstLine="720"/>
      </w:pPr>
    </w:p>
    <w:p w14:paraId="552FF3DC" w14:textId="77777777" w:rsidR="00280F3C" w:rsidRDefault="00280F3C" w:rsidP="005B039A">
      <w:pPr>
        <w:pStyle w:val="TableParagraph"/>
        <w:ind w:right="163" w:firstLine="720"/>
      </w:pPr>
    </w:p>
    <w:p w14:paraId="61401BB6" w14:textId="77777777" w:rsidR="00280F3C" w:rsidRDefault="00280F3C" w:rsidP="005B039A">
      <w:pPr>
        <w:pStyle w:val="TableParagraph"/>
        <w:ind w:right="163" w:firstLine="720"/>
      </w:pPr>
    </w:p>
    <w:p w14:paraId="46040C3D" w14:textId="77777777" w:rsidR="00280F3C" w:rsidRDefault="00280F3C" w:rsidP="005B039A">
      <w:pPr>
        <w:pStyle w:val="TableParagraph"/>
        <w:ind w:right="163" w:firstLine="720"/>
      </w:pPr>
    </w:p>
    <w:p w14:paraId="20517D77" w14:textId="77777777" w:rsidR="00280F3C" w:rsidRDefault="00280F3C" w:rsidP="005B039A">
      <w:pPr>
        <w:pStyle w:val="TableParagraph"/>
        <w:ind w:right="163" w:firstLine="720"/>
      </w:pPr>
    </w:p>
    <w:p w14:paraId="4E7C0755" w14:textId="77777777" w:rsidR="00280F3C" w:rsidRDefault="00280F3C" w:rsidP="005B039A">
      <w:pPr>
        <w:pStyle w:val="TableParagraph"/>
        <w:ind w:right="163" w:firstLine="720"/>
      </w:pPr>
    </w:p>
    <w:p w14:paraId="2A91D284" w14:textId="77777777" w:rsidR="00280F3C" w:rsidRDefault="00280F3C" w:rsidP="005B039A">
      <w:pPr>
        <w:pStyle w:val="TableParagraph"/>
        <w:ind w:right="163" w:firstLine="720"/>
      </w:pPr>
    </w:p>
    <w:p w14:paraId="0DBBFBB8" w14:textId="77777777" w:rsidR="00280F3C" w:rsidRDefault="00280F3C" w:rsidP="005B039A">
      <w:pPr>
        <w:pStyle w:val="TableParagraph"/>
        <w:ind w:right="163" w:firstLine="720"/>
      </w:pPr>
    </w:p>
    <w:p w14:paraId="48EE9D7F" w14:textId="77777777" w:rsidR="00280F3C" w:rsidRDefault="00280F3C" w:rsidP="005B039A">
      <w:pPr>
        <w:pStyle w:val="TableParagraph"/>
        <w:ind w:right="163" w:firstLine="720"/>
      </w:pPr>
    </w:p>
    <w:p w14:paraId="4094D452" w14:textId="77777777" w:rsidR="00280F3C" w:rsidRDefault="00280F3C" w:rsidP="005B039A">
      <w:pPr>
        <w:pStyle w:val="TableParagraph"/>
        <w:ind w:right="163" w:firstLine="720"/>
      </w:pPr>
    </w:p>
    <w:p w14:paraId="70B75312" w14:textId="77777777" w:rsidR="00280F3C" w:rsidRDefault="00280F3C" w:rsidP="005B039A">
      <w:pPr>
        <w:pStyle w:val="TableParagraph"/>
        <w:ind w:right="163" w:firstLine="720"/>
      </w:pPr>
    </w:p>
    <w:p w14:paraId="074139A4" w14:textId="77777777" w:rsidR="00280F3C" w:rsidRDefault="00280F3C" w:rsidP="005B039A">
      <w:pPr>
        <w:pStyle w:val="TableParagraph"/>
        <w:ind w:right="163" w:firstLine="720"/>
      </w:pPr>
    </w:p>
    <w:p w14:paraId="5E71ADA6" w14:textId="77777777" w:rsidR="00280F3C" w:rsidRDefault="00280F3C" w:rsidP="005B039A">
      <w:pPr>
        <w:pStyle w:val="TableParagraph"/>
        <w:ind w:right="163" w:firstLine="720"/>
      </w:pPr>
    </w:p>
    <w:p w14:paraId="386283DB" w14:textId="77777777" w:rsidR="00280F3C" w:rsidRDefault="00280F3C" w:rsidP="005B039A">
      <w:pPr>
        <w:pStyle w:val="TableParagraph"/>
        <w:ind w:right="163" w:firstLine="720"/>
      </w:pPr>
    </w:p>
    <w:p w14:paraId="5DFD358C" w14:textId="77777777" w:rsidR="00A50470" w:rsidRDefault="00A50470" w:rsidP="005B039A">
      <w:pPr>
        <w:pStyle w:val="TableParagraph"/>
        <w:ind w:right="163" w:firstLine="720"/>
      </w:pPr>
    </w:p>
    <w:p w14:paraId="7DD7A3BA" w14:textId="77777777" w:rsidR="00280F3C" w:rsidRDefault="00280F3C" w:rsidP="005B039A">
      <w:pPr>
        <w:pStyle w:val="TableParagraph"/>
        <w:ind w:right="163" w:firstLine="720"/>
      </w:pPr>
    </w:p>
    <w:p w14:paraId="2598E026" w14:textId="77777777" w:rsidR="00280F3C" w:rsidRDefault="00280F3C" w:rsidP="005B039A">
      <w:pPr>
        <w:pStyle w:val="TableParagraph"/>
        <w:ind w:right="163" w:firstLine="720"/>
      </w:pPr>
    </w:p>
    <w:p w14:paraId="29908EDD" w14:textId="77777777" w:rsidR="006B7F0E" w:rsidRDefault="006B7F0E" w:rsidP="005B039A">
      <w:pPr>
        <w:pStyle w:val="TableParagraph"/>
        <w:ind w:right="163" w:firstLine="720"/>
      </w:pPr>
    </w:p>
    <w:p w14:paraId="45F581E0" w14:textId="77777777" w:rsidR="00A50470" w:rsidRDefault="00A50470" w:rsidP="00280F3C">
      <w:pPr>
        <w:pStyle w:val="TableParagraph"/>
        <w:ind w:right="163"/>
      </w:pPr>
    </w:p>
    <w:p w14:paraId="1B07AE9E" w14:textId="77777777" w:rsidR="003467C8" w:rsidRDefault="003467C8" w:rsidP="00280F3C">
      <w:pPr>
        <w:pStyle w:val="TableParagraph"/>
        <w:ind w:right="163"/>
        <w:rPr>
          <w:b/>
          <w:bCs/>
          <w:color w:val="215E99" w:themeColor="text2" w:themeTint="BF"/>
        </w:rPr>
      </w:pPr>
    </w:p>
    <w:p w14:paraId="31D41519" w14:textId="5D0E7C4A" w:rsidR="00280F3C" w:rsidRPr="00C14A0E" w:rsidRDefault="009F730A" w:rsidP="000310D8">
      <w:pPr>
        <w:pStyle w:val="TableParagraph"/>
        <w:ind w:right="163"/>
        <w:jc w:val="both"/>
        <w:rPr>
          <w:color w:val="215E99" w:themeColor="text2" w:themeTint="BF"/>
        </w:rPr>
      </w:pPr>
      <w:r>
        <w:rPr>
          <w:b/>
          <w:bCs/>
        </w:rPr>
        <w:t>3)</w:t>
      </w:r>
      <w:r w:rsidRPr="009F730A">
        <w:rPr>
          <w:b/>
          <w:bCs/>
        </w:rPr>
        <w:t xml:space="preserve"> </w:t>
      </w:r>
      <w:r w:rsidR="00280F3C" w:rsidRPr="00257D2F">
        <w:rPr>
          <w:b/>
          <w:bCs/>
          <w:color w:val="215E99" w:themeColor="text2" w:themeTint="BF"/>
        </w:rPr>
        <w:t xml:space="preserve">B439 </w:t>
      </w:r>
      <w:r w:rsidR="00280F3C" w:rsidRPr="00C14A0E">
        <w:rPr>
          <w:color w:val="215E99" w:themeColor="text2" w:themeTint="BF"/>
        </w:rPr>
        <w:t xml:space="preserve">To record a </w:t>
      </w:r>
      <w:r w:rsidR="00280F3C">
        <w:rPr>
          <w:color w:val="215E99" w:themeColor="text2" w:themeTint="BF"/>
        </w:rPr>
        <w:t xml:space="preserve">liability for future exchange, or to record the application of a future exchange credit, for the value of an inventory carcass unit that a federal receiving entity turns-in to a federal providing entity and </w:t>
      </w:r>
      <w:r w:rsidR="00437C41">
        <w:rPr>
          <w:color w:val="215E99" w:themeColor="text2" w:themeTint="BF"/>
        </w:rPr>
        <w:t>applies</w:t>
      </w:r>
      <w:r w:rsidR="00280F3C">
        <w:rPr>
          <w:color w:val="215E99" w:themeColor="text2" w:themeTint="BF"/>
        </w:rPr>
        <w:t xml:space="preserve"> towards the purchase price of a new replacement unit.</w:t>
      </w:r>
    </w:p>
    <w:p w14:paraId="303A222C" w14:textId="77777777" w:rsidR="00280F3C" w:rsidRPr="00257D2F" w:rsidRDefault="00280F3C" w:rsidP="000310D8">
      <w:pPr>
        <w:pStyle w:val="TableParagraph"/>
        <w:ind w:right="163"/>
        <w:jc w:val="both"/>
        <w:rPr>
          <w:color w:val="215E99" w:themeColor="text2" w:themeTint="BF"/>
        </w:rPr>
      </w:pPr>
    </w:p>
    <w:p w14:paraId="413DAD67" w14:textId="3C852F0D" w:rsidR="00280F3C" w:rsidRPr="00D62D61" w:rsidRDefault="00280F3C" w:rsidP="000310D8">
      <w:pPr>
        <w:pStyle w:val="TableParagraph"/>
        <w:ind w:right="163"/>
        <w:jc w:val="both"/>
        <w:rPr>
          <w:color w:val="215E99" w:themeColor="text2" w:themeTint="BF"/>
        </w:rPr>
      </w:pPr>
      <w:r w:rsidRPr="00257D2F">
        <w:rPr>
          <w:b/>
          <w:bCs/>
          <w:color w:val="215E99" w:themeColor="text2" w:themeTint="BF"/>
        </w:rPr>
        <w:t>Comment:</w:t>
      </w:r>
      <w:r w:rsidRPr="00257D2F">
        <w:rPr>
          <w:color w:val="215E99" w:themeColor="text2" w:themeTint="BF"/>
        </w:rPr>
        <w:t xml:space="preserve"> </w:t>
      </w:r>
      <w:r>
        <w:rPr>
          <w:color w:val="215E99" w:themeColor="text2" w:themeTint="BF"/>
        </w:rPr>
        <w:t xml:space="preserve">When </w:t>
      </w:r>
      <w:r w:rsidRPr="00257D2F">
        <w:rPr>
          <w:color w:val="215E99" w:themeColor="text2" w:themeTint="BF"/>
        </w:rPr>
        <w:t xml:space="preserve">an inventory carcass </w:t>
      </w:r>
      <w:r>
        <w:rPr>
          <w:color w:val="215E99" w:themeColor="text2" w:themeTint="BF"/>
        </w:rPr>
        <w:t>unit is applied towards the purchase price of a replacement item but has yet to be turned in and does not occur simultaneously with the replacement item, c</w:t>
      </w:r>
      <w:r w:rsidRPr="00257D2F">
        <w:rPr>
          <w:color w:val="215E99" w:themeColor="text2" w:themeTint="BF"/>
        </w:rPr>
        <w:t xml:space="preserve">redit </w:t>
      </w:r>
      <w:r w:rsidRPr="00280F3C">
        <w:rPr>
          <w:color w:val="215E99" w:themeColor="text2" w:themeTint="BF"/>
        </w:rPr>
        <w:t xml:space="preserve">SGL </w:t>
      </w:r>
      <w:r w:rsidR="00D91497">
        <w:rPr>
          <w:color w:val="215E99" w:themeColor="text2" w:themeTint="BF"/>
        </w:rPr>
        <w:t>293900</w:t>
      </w:r>
      <w:r w:rsidRPr="00280F3C">
        <w:rPr>
          <w:color w:val="215E99" w:themeColor="text2" w:themeTint="BF"/>
        </w:rPr>
        <w:t xml:space="preserve"> </w:t>
      </w:r>
      <w:r w:rsidRPr="005D76DA">
        <w:rPr>
          <w:color w:val="215E99" w:themeColor="text2" w:themeTint="BF"/>
        </w:rPr>
        <w:t xml:space="preserve">to show the buyer’s obligation to turn in the carcass unit. </w:t>
      </w:r>
      <w:r w:rsidRPr="00D62D61">
        <w:rPr>
          <w:color w:val="215E99" w:themeColor="text2" w:themeTint="BF"/>
        </w:rPr>
        <w:t xml:space="preserve">In this case, the buyer records the delivery of OM&amp;S, and accrues </w:t>
      </w:r>
      <w:proofErr w:type="gramStart"/>
      <w:r w:rsidRPr="00D62D61">
        <w:rPr>
          <w:color w:val="215E99" w:themeColor="text2" w:themeTint="BF"/>
        </w:rPr>
        <w:t>a liability</w:t>
      </w:r>
      <w:proofErr w:type="gramEnd"/>
      <w:r w:rsidRPr="00D62D61">
        <w:rPr>
          <w:color w:val="215E99" w:themeColor="text2" w:themeTint="BF"/>
        </w:rPr>
        <w:t xml:space="preserve"> for payment at the net exchange price with an additional </w:t>
      </w:r>
      <w:proofErr w:type="gramStart"/>
      <w:r w:rsidRPr="00D62D61">
        <w:rPr>
          <w:color w:val="215E99" w:themeColor="text2" w:themeTint="BF"/>
        </w:rPr>
        <w:t>liability</w:t>
      </w:r>
      <w:proofErr w:type="gramEnd"/>
      <w:r w:rsidRPr="00D62D61">
        <w:rPr>
          <w:color w:val="215E99" w:themeColor="text2" w:themeTint="BF"/>
        </w:rPr>
        <w:t xml:space="preserve"> for the exchange value of the carcass unit expected to</w:t>
      </w:r>
      <w:r w:rsidR="00734A60">
        <w:rPr>
          <w:color w:val="215E99" w:themeColor="text2" w:themeTint="BF"/>
        </w:rPr>
        <w:t xml:space="preserve"> be </w:t>
      </w:r>
      <w:proofErr w:type="gramStart"/>
      <w:r w:rsidRPr="00D62D61">
        <w:rPr>
          <w:color w:val="215E99" w:themeColor="text2" w:themeTint="BF"/>
        </w:rPr>
        <w:t>turn</w:t>
      </w:r>
      <w:r w:rsidR="00734A60">
        <w:rPr>
          <w:color w:val="215E99" w:themeColor="text2" w:themeTint="BF"/>
        </w:rPr>
        <w:t>ed-</w:t>
      </w:r>
      <w:r w:rsidRPr="00D62D61">
        <w:rPr>
          <w:color w:val="215E99" w:themeColor="text2" w:themeTint="BF"/>
        </w:rPr>
        <w:t>in.</w:t>
      </w:r>
      <w:proofErr w:type="gramEnd"/>
    </w:p>
    <w:p w14:paraId="763223D4" w14:textId="77777777" w:rsidR="00280F3C" w:rsidRPr="00280F3C" w:rsidRDefault="00280F3C" w:rsidP="000310D8">
      <w:pPr>
        <w:pStyle w:val="TableParagraph"/>
        <w:ind w:right="163"/>
        <w:jc w:val="both"/>
        <w:rPr>
          <w:color w:val="215E99" w:themeColor="text2" w:themeTint="BF"/>
        </w:rPr>
      </w:pPr>
    </w:p>
    <w:p w14:paraId="7C956CEE" w14:textId="16BF03FB" w:rsidR="00280F3C" w:rsidRPr="000B6AF2" w:rsidRDefault="00280F3C" w:rsidP="000310D8">
      <w:pPr>
        <w:pStyle w:val="TableParagraph"/>
        <w:ind w:right="163"/>
        <w:jc w:val="both"/>
        <w:rPr>
          <w:color w:val="215E99" w:themeColor="text2" w:themeTint="BF"/>
        </w:rPr>
      </w:pPr>
      <w:r>
        <w:rPr>
          <w:color w:val="215E99" w:themeColor="text2" w:themeTint="BF"/>
        </w:rPr>
        <w:t xml:space="preserve">When an inventory carcass unit was previously turned into a providing entity in advance of or unrelated to an existing order, the receiving entity should credit </w:t>
      </w:r>
      <w:r w:rsidRPr="00280F3C">
        <w:rPr>
          <w:color w:val="215E99" w:themeColor="text2" w:themeTint="BF"/>
        </w:rPr>
        <w:t xml:space="preserve">SGL </w:t>
      </w:r>
      <w:r w:rsidR="00D91497">
        <w:rPr>
          <w:color w:val="215E99" w:themeColor="text2" w:themeTint="BF"/>
        </w:rPr>
        <w:t>133900</w:t>
      </w:r>
      <w:r w:rsidRPr="00280F3C">
        <w:rPr>
          <w:color w:val="215E99" w:themeColor="text2" w:themeTint="BF"/>
        </w:rPr>
        <w:t xml:space="preserve"> </w:t>
      </w:r>
      <w:r>
        <w:rPr>
          <w:color w:val="215E99" w:themeColor="text2" w:themeTint="BF"/>
        </w:rPr>
        <w:t>at</w:t>
      </w:r>
      <w:r w:rsidRPr="00280F3C">
        <w:rPr>
          <w:color w:val="215E99" w:themeColor="text2" w:themeTint="BF"/>
        </w:rPr>
        <w:t xml:space="preserve"> </w:t>
      </w:r>
      <w:r w:rsidRPr="000B6AF2">
        <w:rPr>
          <w:color w:val="215E99" w:themeColor="text2" w:themeTint="BF"/>
        </w:rPr>
        <w:t xml:space="preserve">the date a customer order is </w:t>
      </w:r>
      <w:r>
        <w:rPr>
          <w:color w:val="215E99" w:themeColor="text2" w:themeTint="BF"/>
        </w:rPr>
        <w:t xml:space="preserve">ultimately </w:t>
      </w:r>
      <w:r w:rsidRPr="000B6AF2">
        <w:rPr>
          <w:color w:val="215E99" w:themeColor="text2" w:themeTint="BF"/>
        </w:rPr>
        <w:t>established for a new item.  In this case, the buyer records the delivery of OM&amp;S</w:t>
      </w:r>
      <w:r w:rsidR="00734A60">
        <w:rPr>
          <w:color w:val="215E99" w:themeColor="text2" w:themeTint="BF"/>
        </w:rPr>
        <w:t xml:space="preserve"> </w:t>
      </w:r>
      <w:r w:rsidRPr="000B6AF2">
        <w:rPr>
          <w:color w:val="215E99" w:themeColor="text2" w:themeTint="BF"/>
        </w:rPr>
        <w:t xml:space="preserve">and accrues a liability for payment at the net exchange price </w:t>
      </w:r>
      <w:r>
        <w:rPr>
          <w:color w:val="215E99" w:themeColor="text2" w:themeTint="BF"/>
        </w:rPr>
        <w:t xml:space="preserve">along </w:t>
      </w:r>
      <w:r w:rsidRPr="000B6AF2">
        <w:rPr>
          <w:color w:val="215E99" w:themeColor="text2" w:themeTint="BF"/>
        </w:rPr>
        <w:t>with a</w:t>
      </w:r>
      <w:r>
        <w:rPr>
          <w:color w:val="215E99" w:themeColor="text2" w:themeTint="BF"/>
        </w:rPr>
        <w:t xml:space="preserve"> reduction of </w:t>
      </w:r>
      <w:r w:rsidRPr="000B6AF2">
        <w:rPr>
          <w:color w:val="215E99" w:themeColor="text2" w:themeTint="BF"/>
        </w:rPr>
        <w:t>the previously recognized receivable</w:t>
      </w:r>
      <w:r>
        <w:rPr>
          <w:color w:val="215E99" w:themeColor="text2" w:themeTint="BF"/>
        </w:rPr>
        <w:t xml:space="preserve"> of the unit’s exchange value</w:t>
      </w:r>
      <w:r w:rsidRPr="000B6AF2">
        <w:rPr>
          <w:color w:val="215E99" w:themeColor="text2" w:themeTint="BF"/>
        </w:rPr>
        <w:t>.</w:t>
      </w:r>
    </w:p>
    <w:p w14:paraId="0B80DC7A" w14:textId="77777777" w:rsidR="00280F3C" w:rsidRPr="00280F3C" w:rsidRDefault="00280F3C" w:rsidP="000310D8">
      <w:pPr>
        <w:pStyle w:val="TableParagraph"/>
        <w:ind w:right="163"/>
        <w:jc w:val="both"/>
        <w:rPr>
          <w:color w:val="215E99" w:themeColor="text2" w:themeTint="BF"/>
        </w:rPr>
      </w:pPr>
    </w:p>
    <w:p w14:paraId="6996EB17" w14:textId="523CFE3E" w:rsidR="00280F3C" w:rsidRPr="00257D2F" w:rsidRDefault="00280F3C" w:rsidP="000310D8">
      <w:pPr>
        <w:pStyle w:val="TableParagraph"/>
        <w:ind w:right="163"/>
        <w:jc w:val="both"/>
        <w:rPr>
          <w:color w:val="215E99" w:themeColor="text2" w:themeTint="BF"/>
        </w:rPr>
      </w:pPr>
      <w:r w:rsidRPr="00257D2F">
        <w:rPr>
          <w:color w:val="215E99" w:themeColor="text2" w:themeTint="BF"/>
        </w:rPr>
        <w:t xml:space="preserve">If funded by </w:t>
      </w:r>
      <w:proofErr w:type="gramStart"/>
      <w:r w:rsidRPr="00257D2F">
        <w:rPr>
          <w:color w:val="215E99" w:themeColor="text2" w:themeTint="BF"/>
        </w:rPr>
        <w:t>a direct</w:t>
      </w:r>
      <w:proofErr w:type="gramEnd"/>
      <w:r w:rsidRPr="00257D2F">
        <w:rPr>
          <w:color w:val="215E99" w:themeColor="text2" w:themeTint="BF"/>
        </w:rPr>
        <w:t xml:space="preserve"> appropriation, also post USSGL TC-B134.</w:t>
      </w:r>
      <w:r>
        <w:rPr>
          <w:color w:val="215E99" w:themeColor="text2" w:themeTint="BF"/>
        </w:rPr>
        <w:t xml:space="preserve"> </w:t>
      </w:r>
      <w:r w:rsidRPr="00257D2F">
        <w:rPr>
          <w:color w:val="215E99" w:themeColor="text2" w:themeTint="BF"/>
        </w:rPr>
        <w:t xml:space="preserve">Assume a title has been passed when the goods are received. </w:t>
      </w:r>
      <w:r>
        <w:rPr>
          <w:color w:val="215E99" w:themeColor="text2" w:themeTint="BF"/>
        </w:rPr>
        <w:t>P</w:t>
      </w:r>
      <w:r w:rsidRPr="00257D2F">
        <w:rPr>
          <w:color w:val="215E99" w:themeColor="text2" w:themeTint="BF"/>
        </w:rPr>
        <w:t>ost USSGL TC G122 to track purchases.</w:t>
      </w:r>
      <w:r>
        <w:rPr>
          <w:color w:val="215E99" w:themeColor="text2" w:themeTint="BF"/>
        </w:rPr>
        <w:t xml:space="preserve"> </w:t>
      </w:r>
      <w:r w:rsidR="004C7F78">
        <w:rPr>
          <w:color w:val="215E99" w:themeColor="text2" w:themeTint="BF"/>
        </w:rPr>
        <w:t>Refer to TC E406 when</w:t>
      </w:r>
      <w:r>
        <w:rPr>
          <w:color w:val="215E99" w:themeColor="text2" w:themeTint="BF"/>
        </w:rPr>
        <w:t xml:space="preserve"> OM&amp;S is placed into operation</w:t>
      </w:r>
      <w:r w:rsidR="004C7F78">
        <w:rPr>
          <w:color w:val="215E99" w:themeColor="text2" w:themeTint="BF"/>
        </w:rPr>
        <w:t>.</w:t>
      </w:r>
    </w:p>
    <w:p w14:paraId="5DC5C917" w14:textId="77777777" w:rsidR="00280F3C" w:rsidRPr="00B81206" w:rsidRDefault="00280F3C" w:rsidP="000310D8">
      <w:pPr>
        <w:pStyle w:val="TableParagraph"/>
        <w:ind w:left="720" w:right="163"/>
        <w:jc w:val="both"/>
        <w:rPr>
          <w:b/>
          <w:bCs/>
        </w:rPr>
      </w:pPr>
    </w:p>
    <w:p w14:paraId="07C05B3D" w14:textId="77777777" w:rsidR="00280F3C" w:rsidRPr="00883B26" w:rsidRDefault="00280F3C" w:rsidP="00280F3C">
      <w:pPr>
        <w:pStyle w:val="TableParagraph"/>
        <w:ind w:right="163"/>
      </w:pPr>
      <w:r w:rsidRPr="00883B26">
        <w:rPr>
          <w:b/>
          <w:bCs/>
        </w:rPr>
        <w:t xml:space="preserve">Budgetary Entry </w:t>
      </w:r>
    </w:p>
    <w:p w14:paraId="7ED1F15F" w14:textId="77777777" w:rsidR="00280F3C" w:rsidRDefault="00280F3C" w:rsidP="00280F3C">
      <w:pPr>
        <w:pStyle w:val="TableParagraph"/>
        <w:ind w:right="163"/>
      </w:pPr>
      <w:r>
        <w:t>Debit 480100 Undelivered Orders – Obligations, Unpaid</w:t>
      </w:r>
    </w:p>
    <w:p w14:paraId="2EEFA47B" w14:textId="43C1D9EB" w:rsidR="00280F3C" w:rsidRPr="00883B26" w:rsidRDefault="00280F3C" w:rsidP="00280F3C">
      <w:pPr>
        <w:pStyle w:val="TableParagraph"/>
        <w:ind w:right="163" w:firstLine="720"/>
      </w:pPr>
      <w:r>
        <w:t>Credit 490100 Delivered Orders – Obligations, Unpaid</w:t>
      </w:r>
    </w:p>
    <w:p w14:paraId="3A85DCD3" w14:textId="77777777" w:rsidR="00280F3C" w:rsidRPr="00883B26" w:rsidRDefault="00280F3C" w:rsidP="00280F3C">
      <w:pPr>
        <w:pStyle w:val="TableParagraph"/>
        <w:ind w:left="720" w:right="163" w:firstLine="720"/>
      </w:pPr>
    </w:p>
    <w:p w14:paraId="3C7551D6" w14:textId="77777777" w:rsidR="00280F3C" w:rsidRPr="00883B26" w:rsidRDefault="00280F3C" w:rsidP="00280F3C">
      <w:pPr>
        <w:pStyle w:val="TableParagraph"/>
        <w:ind w:right="163"/>
      </w:pPr>
      <w:r w:rsidRPr="00883B26">
        <w:rPr>
          <w:b/>
          <w:bCs/>
        </w:rPr>
        <w:t xml:space="preserve">Proprietary Entry </w:t>
      </w:r>
    </w:p>
    <w:p w14:paraId="7BD147A5" w14:textId="77777777" w:rsidR="00280F3C" w:rsidRDefault="00280F3C" w:rsidP="00280F3C">
      <w:pPr>
        <w:pStyle w:val="TableParagraph"/>
        <w:ind w:right="163"/>
      </w:pPr>
      <w:r w:rsidRPr="00883B26">
        <w:t xml:space="preserve">Debit </w:t>
      </w:r>
      <w:r>
        <w:t>151100</w:t>
      </w:r>
      <w:r w:rsidRPr="00883B26">
        <w:t xml:space="preserve"> </w:t>
      </w:r>
      <w:r>
        <w:t xml:space="preserve">  Operating Materials and Supplies Held for Use</w:t>
      </w:r>
    </w:p>
    <w:p w14:paraId="26B67B08" w14:textId="4042FE56" w:rsidR="00280F3C" w:rsidRDefault="00280F3C" w:rsidP="00280F3C">
      <w:pPr>
        <w:pStyle w:val="TableParagraph"/>
        <w:ind w:right="163" w:firstLine="720"/>
      </w:pPr>
      <w:r>
        <w:t>Credit 211000 Accounts Payable</w:t>
      </w:r>
    </w:p>
    <w:p w14:paraId="419A9F93" w14:textId="19F5EF9B" w:rsidR="00280F3C" w:rsidRPr="009F730A" w:rsidRDefault="00280F3C" w:rsidP="00280F3C">
      <w:pPr>
        <w:pStyle w:val="TableParagraph"/>
        <w:ind w:right="163" w:firstLine="720"/>
        <w:rPr>
          <w:color w:val="215E99" w:themeColor="text2" w:themeTint="BF"/>
        </w:rPr>
      </w:pPr>
      <w:r w:rsidRPr="009F730A">
        <w:rPr>
          <w:color w:val="215E99" w:themeColor="text2" w:themeTint="BF"/>
        </w:rPr>
        <w:t>Credit 14xxxx Future Exchange Credit Receivable</w:t>
      </w:r>
    </w:p>
    <w:p w14:paraId="63E890AF" w14:textId="35D9CC1C" w:rsidR="00280F3C" w:rsidRPr="009F730A" w:rsidRDefault="00280F3C" w:rsidP="00280F3C">
      <w:pPr>
        <w:pStyle w:val="TableParagraph"/>
        <w:ind w:right="163" w:firstLine="720"/>
        <w:rPr>
          <w:color w:val="215E99" w:themeColor="text2" w:themeTint="BF"/>
        </w:rPr>
      </w:pPr>
      <w:r w:rsidRPr="009F730A">
        <w:rPr>
          <w:color w:val="215E99" w:themeColor="text2" w:themeTint="BF"/>
        </w:rPr>
        <w:t xml:space="preserve">Credit 29xxxx Liability of Future Exchange </w:t>
      </w:r>
    </w:p>
    <w:p w14:paraId="6C0371F2" w14:textId="77777777" w:rsidR="00280F3C" w:rsidRDefault="00280F3C" w:rsidP="00280F3C">
      <w:pPr>
        <w:pStyle w:val="TableParagraph"/>
        <w:ind w:left="720" w:right="163"/>
      </w:pPr>
    </w:p>
    <w:p w14:paraId="5D1B7752" w14:textId="77777777" w:rsidR="00AF4D2A" w:rsidRDefault="00AF4D2A" w:rsidP="00AF4D2A">
      <w:pPr>
        <w:pStyle w:val="TableParagraph"/>
        <w:ind w:right="163"/>
      </w:pPr>
    </w:p>
    <w:p w14:paraId="74551BE3" w14:textId="38084951" w:rsidR="00280F3C" w:rsidRPr="00DB228A" w:rsidRDefault="009F730A" w:rsidP="000310D8">
      <w:pPr>
        <w:pStyle w:val="TableParagraph"/>
        <w:ind w:right="163"/>
        <w:jc w:val="both"/>
        <w:rPr>
          <w:color w:val="215E99" w:themeColor="text2" w:themeTint="BF"/>
        </w:rPr>
      </w:pPr>
      <w:r>
        <w:rPr>
          <w:b/>
          <w:bCs/>
        </w:rPr>
        <w:t>4</w:t>
      </w:r>
      <w:r w:rsidRPr="009F730A">
        <w:rPr>
          <w:b/>
          <w:bCs/>
        </w:rPr>
        <w:t xml:space="preserve">) </w:t>
      </w:r>
      <w:r w:rsidR="00D05606">
        <w:rPr>
          <w:b/>
          <w:bCs/>
          <w:color w:val="215E99" w:themeColor="text2" w:themeTint="BF"/>
        </w:rPr>
        <w:t>E459</w:t>
      </w:r>
      <w:r w:rsidR="00280F3C" w:rsidRPr="00DB228A">
        <w:rPr>
          <w:b/>
          <w:bCs/>
          <w:color w:val="215E99" w:themeColor="text2" w:themeTint="BF"/>
        </w:rPr>
        <w:t xml:space="preserve"> </w:t>
      </w:r>
      <w:r w:rsidR="00280F3C" w:rsidRPr="00DB228A">
        <w:rPr>
          <w:color w:val="215E99" w:themeColor="text2" w:themeTint="BF"/>
        </w:rPr>
        <w:t xml:space="preserve">To record a gain on a carcass </w:t>
      </w:r>
      <w:r w:rsidR="00280F3C">
        <w:rPr>
          <w:color w:val="215E99" w:themeColor="text2" w:themeTint="BF"/>
        </w:rPr>
        <w:t xml:space="preserve">unit </w:t>
      </w:r>
      <w:r w:rsidR="00280F3C" w:rsidRPr="00DB228A">
        <w:rPr>
          <w:color w:val="215E99" w:themeColor="text2" w:themeTint="BF"/>
        </w:rPr>
        <w:t xml:space="preserve">turn-in to another federal trading partner.  </w:t>
      </w:r>
    </w:p>
    <w:p w14:paraId="5B0BFF54" w14:textId="77777777" w:rsidR="00AF4D2A" w:rsidRDefault="00AF4D2A" w:rsidP="000310D8">
      <w:pPr>
        <w:pStyle w:val="TableParagraph"/>
        <w:ind w:right="163"/>
        <w:jc w:val="both"/>
        <w:rPr>
          <w:color w:val="FF0000"/>
        </w:rPr>
      </w:pPr>
    </w:p>
    <w:p w14:paraId="331149BB" w14:textId="382871DF" w:rsidR="00280F3C" w:rsidRPr="003B6FBD" w:rsidRDefault="00280F3C" w:rsidP="000310D8">
      <w:pPr>
        <w:pStyle w:val="TableParagraph"/>
        <w:ind w:right="163"/>
        <w:jc w:val="both"/>
        <w:rPr>
          <w:color w:val="215E99" w:themeColor="text2" w:themeTint="BF"/>
        </w:rPr>
      </w:pPr>
      <w:r w:rsidRPr="00DB228A">
        <w:rPr>
          <w:b/>
          <w:bCs/>
          <w:color w:val="215E99" w:themeColor="text2" w:themeTint="BF"/>
        </w:rPr>
        <w:t xml:space="preserve">Comment: </w:t>
      </w:r>
      <w:r>
        <w:rPr>
          <w:color w:val="215E99" w:themeColor="text2" w:themeTint="BF"/>
        </w:rPr>
        <w:t xml:space="preserve">When the carcass unit is turned in in advance of or unrelated to an existing order, </w:t>
      </w:r>
      <w:r w:rsidRPr="009F730A">
        <w:rPr>
          <w:color w:val="215E99" w:themeColor="text2" w:themeTint="BF"/>
        </w:rPr>
        <w:t xml:space="preserve">debit SGL </w:t>
      </w:r>
      <w:r w:rsidR="009F730A" w:rsidRPr="009F730A">
        <w:rPr>
          <w:color w:val="215E99" w:themeColor="text2" w:themeTint="BF"/>
        </w:rPr>
        <w:t>133900</w:t>
      </w:r>
      <w:r w:rsidRPr="009F730A">
        <w:rPr>
          <w:color w:val="215E99" w:themeColor="text2" w:themeTint="BF"/>
        </w:rPr>
        <w:t xml:space="preserve"> </w:t>
      </w:r>
      <w:r w:rsidR="00D2327B" w:rsidRPr="009F730A">
        <w:rPr>
          <w:color w:val="215E99" w:themeColor="text2" w:themeTint="BF"/>
        </w:rPr>
        <w:t xml:space="preserve">to account for a future exchange credit receivable against </w:t>
      </w:r>
      <w:proofErr w:type="gramStart"/>
      <w:r w:rsidR="00D2327B" w:rsidRPr="009F730A">
        <w:rPr>
          <w:color w:val="215E99" w:themeColor="text2" w:themeTint="BF"/>
        </w:rPr>
        <w:t>a future</w:t>
      </w:r>
      <w:proofErr w:type="gramEnd"/>
      <w:r w:rsidR="00D2327B" w:rsidRPr="009F730A">
        <w:rPr>
          <w:color w:val="215E99" w:themeColor="text2" w:themeTint="BF"/>
        </w:rPr>
        <w:t xml:space="preserve"> purchase of a new item. </w:t>
      </w:r>
      <w:r w:rsidRPr="009F730A">
        <w:rPr>
          <w:color w:val="215E99" w:themeColor="text2" w:themeTint="BF"/>
        </w:rPr>
        <w:t xml:space="preserve">When the carcass unit was </w:t>
      </w:r>
      <w:r w:rsidR="00D2327B" w:rsidRPr="009F730A">
        <w:rPr>
          <w:color w:val="215E99" w:themeColor="text2" w:themeTint="BF"/>
        </w:rPr>
        <w:t>previously accounted for as</w:t>
      </w:r>
      <w:r w:rsidRPr="009F730A">
        <w:rPr>
          <w:color w:val="215E99" w:themeColor="text2" w:themeTint="BF"/>
        </w:rPr>
        <w:t xml:space="preserve"> “due-in” and a liability for future exchange was previously credited, </w:t>
      </w:r>
      <w:r w:rsidR="00D2327B" w:rsidRPr="009F730A">
        <w:rPr>
          <w:color w:val="215E99" w:themeColor="text2" w:themeTint="BF"/>
        </w:rPr>
        <w:t xml:space="preserve">the receiving entity should </w:t>
      </w:r>
      <w:r w:rsidRPr="009F730A">
        <w:rPr>
          <w:color w:val="215E99" w:themeColor="text2" w:themeTint="BF"/>
        </w:rPr>
        <w:t xml:space="preserve">Debit SGL </w:t>
      </w:r>
      <w:r w:rsidR="009F730A" w:rsidRPr="009F730A">
        <w:rPr>
          <w:color w:val="215E99" w:themeColor="text2" w:themeTint="BF"/>
        </w:rPr>
        <w:t>293900</w:t>
      </w:r>
      <w:r w:rsidRPr="009F730A">
        <w:rPr>
          <w:color w:val="215E99" w:themeColor="text2" w:themeTint="BF"/>
        </w:rPr>
        <w:t xml:space="preserve"> at the time of the carcass unit </w:t>
      </w:r>
      <w:r w:rsidR="00D2327B" w:rsidRPr="009F730A">
        <w:rPr>
          <w:color w:val="215E99" w:themeColor="text2" w:themeTint="BF"/>
        </w:rPr>
        <w:t xml:space="preserve">is </w:t>
      </w:r>
      <w:r w:rsidRPr="009F730A">
        <w:rPr>
          <w:color w:val="215E99" w:themeColor="text2" w:themeTint="BF"/>
        </w:rPr>
        <w:t>turn</w:t>
      </w:r>
      <w:r w:rsidR="00D2327B" w:rsidRPr="009F730A">
        <w:rPr>
          <w:color w:val="215E99" w:themeColor="text2" w:themeTint="BF"/>
        </w:rPr>
        <w:t>ed</w:t>
      </w:r>
      <w:r w:rsidRPr="009F730A">
        <w:rPr>
          <w:color w:val="215E99" w:themeColor="text2" w:themeTint="BF"/>
        </w:rPr>
        <w:t>-in.</w:t>
      </w:r>
    </w:p>
    <w:p w14:paraId="39465DBB" w14:textId="77777777" w:rsidR="00280F3C" w:rsidRPr="00B81206" w:rsidRDefault="00280F3C" w:rsidP="00280F3C">
      <w:pPr>
        <w:pStyle w:val="TableParagraph"/>
        <w:ind w:left="720" w:right="163"/>
        <w:rPr>
          <w:b/>
          <w:bCs/>
        </w:rPr>
      </w:pPr>
    </w:p>
    <w:p w14:paraId="5B869DC2" w14:textId="77777777" w:rsidR="00280F3C" w:rsidRPr="00883B26" w:rsidRDefault="00280F3C" w:rsidP="00AF4D2A">
      <w:pPr>
        <w:pStyle w:val="TableParagraph"/>
        <w:ind w:right="163"/>
      </w:pPr>
      <w:r w:rsidRPr="00883B26">
        <w:rPr>
          <w:b/>
          <w:bCs/>
        </w:rPr>
        <w:t xml:space="preserve">Budgetary Entry </w:t>
      </w:r>
    </w:p>
    <w:p w14:paraId="565EF89D" w14:textId="77777777" w:rsidR="00280F3C" w:rsidRPr="00883B26" w:rsidRDefault="00280F3C" w:rsidP="00AF4D2A">
      <w:pPr>
        <w:pStyle w:val="TableParagraph"/>
        <w:ind w:right="163"/>
      </w:pPr>
      <w:r>
        <w:t>None</w:t>
      </w:r>
    </w:p>
    <w:p w14:paraId="14747069" w14:textId="77777777" w:rsidR="00280F3C" w:rsidRPr="00883B26" w:rsidRDefault="00280F3C" w:rsidP="00280F3C">
      <w:pPr>
        <w:pStyle w:val="TableParagraph"/>
        <w:ind w:left="720" w:right="163" w:firstLine="720"/>
      </w:pPr>
    </w:p>
    <w:p w14:paraId="520929A9" w14:textId="77777777" w:rsidR="00280F3C" w:rsidRPr="00883B26" w:rsidRDefault="00280F3C" w:rsidP="00AF4D2A">
      <w:pPr>
        <w:pStyle w:val="TableParagraph"/>
        <w:ind w:right="163"/>
      </w:pPr>
      <w:r w:rsidRPr="00883B26">
        <w:rPr>
          <w:b/>
          <w:bCs/>
        </w:rPr>
        <w:t xml:space="preserve">Proprietary Entry </w:t>
      </w:r>
    </w:p>
    <w:p w14:paraId="4490171B" w14:textId="77777777" w:rsidR="00280F3C" w:rsidRPr="009F730A" w:rsidRDefault="00280F3C" w:rsidP="00AF4D2A">
      <w:pPr>
        <w:pStyle w:val="TableParagraph"/>
        <w:ind w:right="163"/>
        <w:rPr>
          <w:color w:val="215E99" w:themeColor="text2" w:themeTint="BF"/>
        </w:rPr>
      </w:pPr>
      <w:r w:rsidRPr="009F730A">
        <w:rPr>
          <w:color w:val="215E99" w:themeColor="text2" w:themeTint="BF"/>
        </w:rPr>
        <w:t>Debit 14xxxx Future Exchange Credit Receivable</w:t>
      </w:r>
    </w:p>
    <w:p w14:paraId="282ACF4D" w14:textId="77777777" w:rsidR="00AF4D2A" w:rsidRPr="009F730A" w:rsidRDefault="00280F3C" w:rsidP="00AF4D2A">
      <w:pPr>
        <w:pStyle w:val="TableParagraph"/>
        <w:ind w:right="163"/>
        <w:rPr>
          <w:color w:val="215E99" w:themeColor="text2" w:themeTint="BF"/>
        </w:rPr>
      </w:pPr>
      <w:r w:rsidRPr="009F730A">
        <w:rPr>
          <w:color w:val="215E99" w:themeColor="text2" w:themeTint="BF"/>
        </w:rPr>
        <w:t>Debit 29xxxx Liability of Future Exchange</w:t>
      </w:r>
      <w:bookmarkStart w:id="0" w:name="_Hlk220044734"/>
    </w:p>
    <w:p w14:paraId="4F0E0CE0" w14:textId="2E70604A" w:rsidR="00280F3C" w:rsidRPr="00AF4D2A" w:rsidRDefault="00280F3C" w:rsidP="00AF4D2A">
      <w:pPr>
        <w:pStyle w:val="TableParagraph"/>
        <w:ind w:right="163" w:firstLine="720"/>
        <w:rPr>
          <w:color w:val="FF0000"/>
        </w:rPr>
      </w:pPr>
      <w:r>
        <w:t>Credit 719000 Other Gains</w:t>
      </w:r>
      <w:bookmarkEnd w:id="0"/>
    </w:p>
    <w:p w14:paraId="33C1EDFF" w14:textId="77777777" w:rsidR="00280F3C" w:rsidRDefault="00280F3C" w:rsidP="005B039A">
      <w:pPr>
        <w:pStyle w:val="TableParagraph"/>
        <w:ind w:right="163" w:firstLine="720"/>
      </w:pPr>
    </w:p>
    <w:p w14:paraId="10A86813" w14:textId="77777777" w:rsidR="0016195A" w:rsidRDefault="0016195A" w:rsidP="0016195A">
      <w:pPr>
        <w:rPr>
          <w:rFonts w:cstheme="minorHAnsi"/>
          <w:b/>
          <w:bCs/>
          <w:sz w:val="28"/>
          <w:szCs w:val="28"/>
          <w:u w:val="single"/>
        </w:rPr>
      </w:pPr>
    </w:p>
    <w:p w14:paraId="5AA05CF1" w14:textId="51A70CF1" w:rsidR="00784592" w:rsidRPr="00C70A55" w:rsidRDefault="00784592" w:rsidP="0016195A">
      <w:pPr>
        <w:rPr>
          <w:rFonts w:cstheme="minorHAnsi"/>
          <w:b/>
          <w:bCs/>
          <w:sz w:val="28"/>
          <w:szCs w:val="28"/>
          <w:u w:val="single"/>
        </w:rPr>
      </w:pPr>
      <w:r w:rsidRPr="00C70A55">
        <w:rPr>
          <w:rFonts w:cstheme="minorHAnsi"/>
          <w:b/>
          <w:bCs/>
          <w:sz w:val="28"/>
          <w:szCs w:val="28"/>
          <w:u w:val="single"/>
        </w:rPr>
        <w:lastRenderedPageBreak/>
        <w:t xml:space="preserve">Proprietary Transaction Code </w:t>
      </w:r>
      <w:r>
        <w:rPr>
          <w:rFonts w:cstheme="minorHAnsi"/>
          <w:b/>
          <w:bCs/>
          <w:sz w:val="28"/>
          <w:szCs w:val="28"/>
          <w:u w:val="single"/>
        </w:rPr>
        <w:t>Deletions</w:t>
      </w:r>
      <w:r w:rsidRPr="00C70A55">
        <w:rPr>
          <w:rFonts w:cstheme="minorHAnsi"/>
          <w:b/>
          <w:bCs/>
          <w:sz w:val="28"/>
          <w:szCs w:val="28"/>
          <w:u w:val="single"/>
        </w:rPr>
        <w:t xml:space="preserve"> (FY 202</w:t>
      </w:r>
      <w:r>
        <w:rPr>
          <w:rFonts w:cstheme="minorHAnsi"/>
          <w:b/>
          <w:bCs/>
          <w:sz w:val="28"/>
          <w:szCs w:val="28"/>
          <w:u w:val="single"/>
        </w:rPr>
        <w:t>6</w:t>
      </w:r>
      <w:r w:rsidRPr="00C70A55">
        <w:rPr>
          <w:rFonts w:cstheme="minorHAnsi"/>
          <w:b/>
          <w:bCs/>
          <w:sz w:val="28"/>
          <w:szCs w:val="28"/>
          <w:u w:val="single"/>
        </w:rPr>
        <w:t>)</w:t>
      </w:r>
    </w:p>
    <w:p w14:paraId="7673C059" w14:textId="77777777" w:rsidR="0016195A" w:rsidRPr="0016195A" w:rsidRDefault="0016195A" w:rsidP="0016195A">
      <w:pPr>
        <w:spacing w:after="160"/>
        <w:rPr>
          <w:rFonts w:cstheme="minorHAnsi"/>
          <w:b/>
          <w:bCs/>
          <w:szCs w:val="22"/>
        </w:rPr>
      </w:pPr>
      <w:r w:rsidRPr="0016195A">
        <w:rPr>
          <w:rFonts w:cstheme="minorHAnsi"/>
          <w:b/>
          <w:bCs/>
          <w:szCs w:val="22"/>
        </w:rPr>
        <w:t>Repairable Carcass Inventory Replenishment T</w:t>
      </w:r>
      <w:r>
        <w:rPr>
          <w:rFonts w:cstheme="minorHAnsi"/>
          <w:b/>
          <w:bCs/>
          <w:szCs w:val="22"/>
        </w:rPr>
        <w:t>ransaction</w:t>
      </w:r>
      <w:r w:rsidRPr="0016195A">
        <w:rPr>
          <w:rFonts w:cstheme="minorHAnsi"/>
          <w:b/>
          <w:bCs/>
          <w:szCs w:val="22"/>
        </w:rPr>
        <w:t>s</w:t>
      </w:r>
    </w:p>
    <w:p w14:paraId="776AA52C" w14:textId="6D903428" w:rsidR="00BC35D9" w:rsidRPr="00A80EFB" w:rsidRDefault="00BC35D9" w:rsidP="000310D8">
      <w:pPr>
        <w:pStyle w:val="TableParagraph"/>
        <w:ind w:right="163"/>
        <w:jc w:val="both"/>
        <w:rPr>
          <w:b/>
          <w:bCs/>
          <w:i/>
          <w:iCs/>
          <w:color w:val="FF0000"/>
          <w:u w:val="single"/>
        </w:rPr>
      </w:pPr>
      <w:r w:rsidRPr="00A80EFB">
        <w:rPr>
          <w:b/>
          <w:bCs/>
          <w:i/>
          <w:iCs/>
          <w:color w:val="FF0000"/>
          <w:u w:val="single"/>
        </w:rPr>
        <w:t>T</w:t>
      </w:r>
      <w:r w:rsidR="00784592" w:rsidRPr="00A80EFB">
        <w:rPr>
          <w:b/>
          <w:bCs/>
          <w:i/>
          <w:iCs/>
          <w:color w:val="FF0000"/>
          <w:u w:val="single"/>
        </w:rPr>
        <w:t>he c</w:t>
      </w:r>
      <w:r w:rsidRPr="00A80EFB">
        <w:rPr>
          <w:b/>
          <w:bCs/>
          <w:i/>
          <w:iCs/>
          <w:color w:val="FF0000"/>
          <w:u w:val="single"/>
        </w:rPr>
        <w:t xml:space="preserve">urrent TC </w:t>
      </w:r>
      <w:r w:rsidR="00784592" w:rsidRPr="00A80EFB">
        <w:rPr>
          <w:b/>
          <w:bCs/>
          <w:i/>
          <w:iCs/>
          <w:color w:val="FF0000"/>
          <w:u w:val="single"/>
        </w:rPr>
        <w:t xml:space="preserve">C430 </w:t>
      </w:r>
      <w:r w:rsidR="00EB0864">
        <w:rPr>
          <w:b/>
          <w:bCs/>
          <w:i/>
          <w:iCs/>
          <w:color w:val="FF0000"/>
          <w:u w:val="single"/>
        </w:rPr>
        <w:t xml:space="preserve">&amp; D538 </w:t>
      </w:r>
      <w:r w:rsidR="00784592" w:rsidRPr="00A80EFB">
        <w:rPr>
          <w:b/>
          <w:bCs/>
          <w:i/>
          <w:iCs/>
          <w:color w:val="FF0000"/>
          <w:u w:val="single"/>
        </w:rPr>
        <w:t>state</w:t>
      </w:r>
      <w:r w:rsidRPr="00A80EFB">
        <w:rPr>
          <w:b/>
          <w:bCs/>
          <w:i/>
          <w:iCs/>
          <w:color w:val="FF0000"/>
          <w:u w:val="single"/>
        </w:rPr>
        <w:t>: “This is the way the Department of Defense accounts for repairable items involving trade</w:t>
      </w:r>
      <w:r w:rsidR="00182B43" w:rsidRPr="00A80EFB">
        <w:rPr>
          <w:b/>
          <w:bCs/>
          <w:i/>
          <w:iCs/>
          <w:color w:val="FF0000"/>
          <w:u w:val="single"/>
        </w:rPr>
        <w:t>-</w:t>
      </w:r>
      <w:r w:rsidRPr="00A80EFB">
        <w:rPr>
          <w:b/>
          <w:bCs/>
          <w:i/>
          <w:iCs/>
          <w:color w:val="FF0000"/>
          <w:u w:val="single"/>
        </w:rPr>
        <w:t xml:space="preserve">ins.”  If </w:t>
      </w:r>
      <w:r w:rsidR="00FC40EC" w:rsidRPr="00A80EFB">
        <w:rPr>
          <w:b/>
          <w:bCs/>
          <w:i/>
          <w:iCs/>
          <w:color w:val="FF0000"/>
          <w:u w:val="single"/>
        </w:rPr>
        <w:t xml:space="preserve">other </w:t>
      </w:r>
      <w:r w:rsidR="00784592" w:rsidRPr="00A80EFB">
        <w:rPr>
          <w:b/>
          <w:bCs/>
          <w:i/>
          <w:iCs/>
          <w:color w:val="FF0000"/>
          <w:u w:val="single"/>
        </w:rPr>
        <w:t xml:space="preserve">federal </w:t>
      </w:r>
      <w:r w:rsidRPr="00A80EFB">
        <w:rPr>
          <w:b/>
          <w:bCs/>
          <w:i/>
          <w:iCs/>
          <w:color w:val="FF0000"/>
          <w:u w:val="single"/>
        </w:rPr>
        <w:t xml:space="preserve">agencies still need </w:t>
      </w:r>
      <w:r w:rsidR="00EB0864">
        <w:rPr>
          <w:b/>
          <w:bCs/>
          <w:i/>
          <w:iCs/>
          <w:color w:val="FF0000"/>
          <w:u w:val="single"/>
        </w:rPr>
        <w:t>either of these</w:t>
      </w:r>
      <w:r w:rsidRPr="00A80EFB">
        <w:rPr>
          <w:b/>
          <w:bCs/>
          <w:i/>
          <w:iCs/>
          <w:color w:val="FF0000"/>
          <w:u w:val="single"/>
        </w:rPr>
        <w:t xml:space="preserve"> TC</w:t>
      </w:r>
      <w:r w:rsidR="00EB0864">
        <w:rPr>
          <w:b/>
          <w:bCs/>
          <w:i/>
          <w:iCs/>
          <w:color w:val="FF0000"/>
          <w:u w:val="single"/>
        </w:rPr>
        <w:t>s</w:t>
      </w:r>
      <w:r w:rsidRPr="00A80EFB">
        <w:rPr>
          <w:b/>
          <w:bCs/>
          <w:i/>
          <w:iCs/>
          <w:color w:val="FF0000"/>
          <w:u w:val="single"/>
        </w:rPr>
        <w:t xml:space="preserve">, revisions </w:t>
      </w:r>
      <w:r w:rsidR="00784592" w:rsidRPr="00A80EFB">
        <w:rPr>
          <w:b/>
          <w:bCs/>
          <w:i/>
          <w:iCs/>
          <w:color w:val="FF0000"/>
          <w:u w:val="single"/>
        </w:rPr>
        <w:t>will</w:t>
      </w:r>
      <w:r w:rsidRPr="00A80EFB">
        <w:rPr>
          <w:b/>
          <w:bCs/>
          <w:i/>
          <w:iCs/>
          <w:color w:val="FF0000"/>
          <w:u w:val="single"/>
        </w:rPr>
        <w:t xml:space="preserve"> </w:t>
      </w:r>
      <w:r w:rsidR="00EB0864">
        <w:rPr>
          <w:b/>
          <w:bCs/>
          <w:i/>
          <w:iCs/>
          <w:color w:val="FF0000"/>
          <w:u w:val="single"/>
        </w:rPr>
        <w:t xml:space="preserve">be </w:t>
      </w:r>
      <w:r w:rsidR="00784592" w:rsidRPr="00A80EFB">
        <w:rPr>
          <w:b/>
          <w:bCs/>
          <w:i/>
          <w:iCs/>
          <w:color w:val="FF0000"/>
          <w:u w:val="single"/>
        </w:rPr>
        <w:t>proposed</w:t>
      </w:r>
      <w:r w:rsidR="00FC40EC" w:rsidRPr="00A80EFB">
        <w:rPr>
          <w:b/>
          <w:bCs/>
          <w:i/>
          <w:iCs/>
          <w:color w:val="FF0000"/>
          <w:u w:val="single"/>
        </w:rPr>
        <w:t xml:space="preserve"> in </w:t>
      </w:r>
      <w:r w:rsidR="00784592" w:rsidRPr="00A80EFB">
        <w:rPr>
          <w:b/>
          <w:bCs/>
          <w:i/>
          <w:iCs/>
          <w:color w:val="FF0000"/>
          <w:u w:val="single"/>
        </w:rPr>
        <w:t>the August 2026</w:t>
      </w:r>
      <w:r w:rsidR="00FC40EC" w:rsidRPr="00A80EFB">
        <w:rPr>
          <w:b/>
          <w:bCs/>
          <w:i/>
          <w:iCs/>
          <w:color w:val="FF0000"/>
          <w:u w:val="single"/>
        </w:rPr>
        <w:t xml:space="preserve"> IRC.</w:t>
      </w:r>
      <w:r w:rsidR="00A80EFB" w:rsidRPr="00A80EFB">
        <w:rPr>
          <w:b/>
          <w:bCs/>
          <w:i/>
          <w:iCs/>
          <w:color w:val="FF0000"/>
          <w:u w:val="single"/>
        </w:rPr>
        <w:t xml:space="preserve"> If no other federal agencies communicate a need to use </w:t>
      </w:r>
      <w:r w:rsidR="00EB0864">
        <w:rPr>
          <w:b/>
          <w:bCs/>
          <w:i/>
          <w:iCs/>
          <w:color w:val="FF0000"/>
          <w:u w:val="single"/>
        </w:rPr>
        <w:t>these</w:t>
      </w:r>
      <w:r w:rsidR="00A80EFB" w:rsidRPr="00A80EFB">
        <w:rPr>
          <w:b/>
          <w:bCs/>
          <w:i/>
          <w:iCs/>
          <w:color w:val="FF0000"/>
          <w:u w:val="single"/>
        </w:rPr>
        <w:t xml:space="preserve"> TC</w:t>
      </w:r>
      <w:r w:rsidR="00EB0864">
        <w:rPr>
          <w:b/>
          <w:bCs/>
          <w:i/>
          <w:iCs/>
          <w:color w:val="FF0000"/>
          <w:u w:val="single"/>
        </w:rPr>
        <w:t>s</w:t>
      </w:r>
      <w:r w:rsidR="00A80EFB" w:rsidRPr="00A80EFB">
        <w:rPr>
          <w:b/>
          <w:bCs/>
          <w:i/>
          <w:iCs/>
          <w:color w:val="FF0000"/>
          <w:u w:val="single"/>
        </w:rPr>
        <w:t xml:space="preserve">, </w:t>
      </w:r>
      <w:r w:rsidR="00EB0864">
        <w:rPr>
          <w:b/>
          <w:bCs/>
          <w:i/>
          <w:iCs/>
          <w:color w:val="FF0000"/>
          <w:u w:val="single"/>
        </w:rPr>
        <w:t xml:space="preserve">they </w:t>
      </w:r>
      <w:r w:rsidR="00A80EFB" w:rsidRPr="00A80EFB">
        <w:rPr>
          <w:b/>
          <w:bCs/>
          <w:i/>
          <w:iCs/>
          <w:color w:val="FF0000"/>
          <w:u w:val="single"/>
        </w:rPr>
        <w:t>will be deleted.</w:t>
      </w:r>
    </w:p>
    <w:p w14:paraId="71E4987A" w14:textId="77777777" w:rsidR="00BC35D9" w:rsidRDefault="00BC35D9" w:rsidP="000310D8">
      <w:pPr>
        <w:pStyle w:val="TableParagraph"/>
        <w:ind w:right="163"/>
        <w:jc w:val="both"/>
        <w:rPr>
          <w:b/>
          <w:bCs/>
        </w:rPr>
      </w:pPr>
    </w:p>
    <w:p w14:paraId="56BE25B4" w14:textId="145D183C" w:rsidR="000476FB" w:rsidRPr="00A80EFB" w:rsidRDefault="005C4A3B" w:rsidP="000310D8">
      <w:pPr>
        <w:pStyle w:val="TableParagraph"/>
        <w:ind w:right="163"/>
        <w:jc w:val="both"/>
        <w:rPr>
          <w:color w:val="FF0000"/>
        </w:rPr>
      </w:pPr>
      <w:r>
        <w:rPr>
          <w:b/>
          <w:bCs/>
          <w:color w:val="FF0000"/>
        </w:rPr>
        <w:t xml:space="preserve">5) </w:t>
      </w:r>
      <w:r w:rsidR="000476FB" w:rsidRPr="00A80EFB">
        <w:rPr>
          <w:b/>
          <w:bCs/>
          <w:color w:val="FF0000"/>
        </w:rPr>
        <w:t>C430</w:t>
      </w:r>
      <w:r w:rsidR="000476FB" w:rsidRPr="00A80EFB">
        <w:rPr>
          <w:color w:val="FF0000"/>
        </w:rPr>
        <w:t xml:space="preserve"> </w:t>
      </w:r>
      <w:r w:rsidR="003467C8" w:rsidRPr="00A80EFB">
        <w:rPr>
          <w:color w:val="FF0000"/>
        </w:rPr>
        <w:t>To record an old motor vehicle that was traded in for a new motor vehicle using the direct method.</w:t>
      </w:r>
    </w:p>
    <w:p w14:paraId="7B55A7C3" w14:textId="77777777" w:rsidR="000476FB" w:rsidRPr="00A80EFB" w:rsidRDefault="000476FB" w:rsidP="000310D8">
      <w:pPr>
        <w:pStyle w:val="TableParagraph"/>
        <w:ind w:right="163"/>
        <w:jc w:val="both"/>
        <w:rPr>
          <w:color w:val="FF0000"/>
        </w:rPr>
      </w:pPr>
    </w:p>
    <w:p w14:paraId="038B6720" w14:textId="2BAC48AD" w:rsidR="000476FB" w:rsidRPr="00A80EFB" w:rsidRDefault="000476FB" w:rsidP="000310D8">
      <w:pPr>
        <w:pStyle w:val="TableParagraph"/>
        <w:ind w:right="163"/>
        <w:jc w:val="both"/>
        <w:rPr>
          <w:color w:val="FF0000"/>
        </w:rPr>
      </w:pPr>
      <w:r w:rsidRPr="00A80EFB">
        <w:rPr>
          <w:b/>
          <w:bCs/>
          <w:color w:val="FF0000"/>
        </w:rPr>
        <w:t>Comment:</w:t>
      </w:r>
      <w:r w:rsidRPr="00A80EFB">
        <w:rPr>
          <w:color w:val="FF0000"/>
        </w:rPr>
        <w:t xml:space="preserve"> </w:t>
      </w:r>
      <w:r w:rsidR="003467C8" w:rsidRPr="00A80EFB">
        <w:rPr>
          <w:color w:val="FF0000"/>
        </w:rPr>
        <w:t xml:space="preserve">This entry is to show a trade-in only. An entry for indirect cost is not included. This is the way the Department of Defense accounts for repairable items involving </w:t>
      </w:r>
      <w:proofErr w:type="spellStart"/>
      <w:r w:rsidR="003467C8" w:rsidRPr="00A80EFB">
        <w:rPr>
          <w:color w:val="FF0000"/>
        </w:rPr>
        <w:t>tradeins</w:t>
      </w:r>
      <w:proofErr w:type="spellEnd"/>
      <w:r w:rsidR="003467C8" w:rsidRPr="00A80EFB">
        <w:rPr>
          <w:color w:val="FF0000"/>
        </w:rPr>
        <w:t xml:space="preserve">. Accounts receivable represents the </w:t>
      </w:r>
      <w:proofErr w:type="gramStart"/>
      <w:r w:rsidR="003467C8" w:rsidRPr="00A80EFB">
        <w:rPr>
          <w:color w:val="FF0000"/>
        </w:rPr>
        <w:t>cash amount</w:t>
      </w:r>
      <w:proofErr w:type="gramEnd"/>
      <w:r w:rsidR="003467C8" w:rsidRPr="00A80EFB">
        <w:rPr>
          <w:color w:val="FF0000"/>
        </w:rPr>
        <w:t xml:space="preserve"> the vehicle procurer will receive from the customer. Inventory held for repair represents the value of an asset after it is repaired (value of a similar new asset). Other financing </w:t>
      </w:r>
      <w:proofErr w:type="gramStart"/>
      <w:r w:rsidR="003467C8" w:rsidRPr="00A80EFB">
        <w:rPr>
          <w:color w:val="FF0000"/>
        </w:rPr>
        <w:t>source represents</w:t>
      </w:r>
      <w:proofErr w:type="gramEnd"/>
      <w:r w:rsidR="003467C8" w:rsidRPr="00A80EFB">
        <w:rPr>
          <w:color w:val="FF0000"/>
        </w:rPr>
        <w:t xml:space="preserve"> fair market value of the old vehicle. Other financing </w:t>
      </w:r>
      <w:proofErr w:type="gramStart"/>
      <w:r w:rsidR="003467C8" w:rsidRPr="00A80EFB">
        <w:rPr>
          <w:color w:val="FF0000"/>
        </w:rPr>
        <w:t>source was</w:t>
      </w:r>
      <w:proofErr w:type="gramEnd"/>
      <w:r w:rsidR="003467C8" w:rsidRPr="00A80EFB">
        <w:rPr>
          <w:color w:val="FF0000"/>
        </w:rPr>
        <w:t xml:space="preserve"> used instead of revenue from goods sold due to a trade-in, which is not a budgetary resource. Inventory allowance represents the estimated repair cost of the damaged vehicle. While it is acceptable to credit USSGL account 422100 in this situation, it is never acceptable for the balance in USSGL account 422100 to be a credit.</w:t>
      </w:r>
    </w:p>
    <w:p w14:paraId="69FFCAC9" w14:textId="77777777" w:rsidR="003467C8" w:rsidRDefault="003467C8" w:rsidP="000476FB">
      <w:pPr>
        <w:pStyle w:val="TableParagraph"/>
        <w:ind w:right="163"/>
      </w:pPr>
    </w:p>
    <w:p w14:paraId="1399F215" w14:textId="77777777" w:rsidR="000476FB" w:rsidRPr="00A80EFB" w:rsidRDefault="000476FB" w:rsidP="000476FB">
      <w:pPr>
        <w:pStyle w:val="TableParagraph"/>
        <w:ind w:right="163"/>
        <w:rPr>
          <w:color w:val="FF0000"/>
        </w:rPr>
      </w:pPr>
      <w:r w:rsidRPr="00A80EFB">
        <w:rPr>
          <w:b/>
          <w:bCs/>
          <w:color w:val="FF0000"/>
        </w:rPr>
        <w:t>Reference:</w:t>
      </w:r>
      <w:r w:rsidRPr="00A80EFB">
        <w:rPr>
          <w:color w:val="FF0000"/>
        </w:rPr>
        <w:t xml:space="preserve"> FASAB SFFAS No. 3, Accounting for Inventory and Related Property  </w:t>
      </w:r>
    </w:p>
    <w:p w14:paraId="61F6A6F9" w14:textId="77777777" w:rsidR="000476FB" w:rsidRDefault="000476FB" w:rsidP="000476FB">
      <w:pPr>
        <w:pStyle w:val="TableParagraph"/>
        <w:ind w:right="163"/>
      </w:pPr>
    </w:p>
    <w:p w14:paraId="42FBEB9E" w14:textId="77777777" w:rsidR="000476FB" w:rsidRPr="00A80EFB" w:rsidRDefault="000476FB" w:rsidP="000476FB">
      <w:pPr>
        <w:pStyle w:val="TableParagraph"/>
        <w:ind w:right="163"/>
        <w:rPr>
          <w:b/>
          <w:bCs/>
          <w:color w:val="FF0000"/>
        </w:rPr>
      </w:pPr>
      <w:r w:rsidRPr="00A80EFB">
        <w:rPr>
          <w:b/>
          <w:bCs/>
          <w:color w:val="FF0000"/>
        </w:rPr>
        <w:t xml:space="preserve">Budgetary Entry  </w:t>
      </w:r>
    </w:p>
    <w:p w14:paraId="4C3F68E0" w14:textId="77777777" w:rsidR="000476FB" w:rsidRDefault="000476FB" w:rsidP="000476FB">
      <w:pPr>
        <w:pStyle w:val="TableParagraph"/>
        <w:ind w:right="163"/>
      </w:pPr>
      <w:r w:rsidRPr="000476FB">
        <w:t xml:space="preserve">Debit 425100 Reimbursements Earned - Receivable     </w:t>
      </w:r>
    </w:p>
    <w:p w14:paraId="4DC65622" w14:textId="26F17060" w:rsidR="000476FB" w:rsidRDefault="000476FB" w:rsidP="000476FB">
      <w:pPr>
        <w:pStyle w:val="TableParagraph"/>
        <w:ind w:right="163" w:firstLine="720"/>
      </w:pPr>
      <w:r w:rsidRPr="000476FB">
        <w:t xml:space="preserve">Credit    422100 Unfilled Customer Orders Without Advance  </w:t>
      </w:r>
    </w:p>
    <w:p w14:paraId="415B0961" w14:textId="7CB42B63" w:rsidR="000476FB" w:rsidRDefault="000476FB" w:rsidP="000476FB">
      <w:pPr>
        <w:pStyle w:val="TableParagraph"/>
        <w:ind w:right="163"/>
      </w:pPr>
      <w:r>
        <w:tab/>
      </w:r>
    </w:p>
    <w:p w14:paraId="256A2AE3" w14:textId="77777777" w:rsidR="000476FB" w:rsidRPr="00A80EFB" w:rsidRDefault="000476FB" w:rsidP="000476FB">
      <w:pPr>
        <w:pStyle w:val="TableParagraph"/>
        <w:ind w:right="163"/>
        <w:rPr>
          <w:b/>
          <w:bCs/>
          <w:color w:val="FF0000"/>
        </w:rPr>
      </w:pPr>
      <w:r w:rsidRPr="00A80EFB">
        <w:rPr>
          <w:b/>
          <w:bCs/>
          <w:color w:val="FF0000"/>
        </w:rPr>
        <w:t xml:space="preserve">Proprietary Entry  </w:t>
      </w:r>
    </w:p>
    <w:p w14:paraId="02E9B621" w14:textId="77777777" w:rsidR="000476FB" w:rsidRDefault="000476FB" w:rsidP="000476FB">
      <w:pPr>
        <w:pStyle w:val="TableParagraph"/>
        <w:ind w:right="163"/>
      </w:pPr>
      <w:r w:rsidRPr="000476FB">
        <w:t xml:space="preserve">Debit 131000 Accounts Receivable  </w:t>
      </w:r>
    </w:p>
    <w:p w14:paraId="2F816B48" w14:textId="77777777" w:rsidR="000476FB" w:rsidRDefault="000476FB" w:rsidP="000476FB">
      <w:pPr>
        <w:pStyle w:val="TableParagraph"/>
        <w:ind w:right="163"/>
      </w:pPr>
      <w:r w:rsidRPr="000476FB">
        <w:t xml:space="preserve">Debit 152300 Inventory Held for Repair     </w:t>
      </w:r>
    </w:p>
    <w:p w14:paraId="23469A6C" w14:textId="1770CCA6" w:rsidR="000476FB" w:rsidRDefault="000476FB" w:rsidP="000476FB">
      <w:pPr>
        <w:pStyle w:val="TableParagraph"/>
        <w:ind w:right="163" w:firstLine="720"/>
      </w:pPr>
      <w:r w:rsidRPr="000476FB">
        <w:t xml:space="preserve">Credit    152900 Inventory - Allowance     </w:t>
      </w:r>
    </w:p>
    <w:p w14:paraId="78D41EF2" w14:textId="5D67B181" w:rsidR="000476FB" w:rsidRDefault="000476FB" w:rsidP="000476FB">
      <w:pPr>
        <w:pStyle w:val="TableParagraph"/>
        <w:ind w:right="163" w:firstLine="720"/>
      </w:pPr>
      <w:r w:rsidRPr="000476FB">
        <w:t xml:space="preserve">Credit    510000 Revenue </w:t>
      </w:r>
      <w:proofErr w:type="gramStart"/>
      <w:r w:rsidRPr="000476FB">
        <w:t>From</w:t>
      </w:r>
      <w:proofErr w:type="gramEnd"/>
      <w:r w:rsidRPr="000476FB">
        <w:t xml:space="preserve"> Goods Sold     </w:t>
      </w:r>
    </w:p>
    <w:p w14:paraId="2C727A81" w14:textId="6E117A5A" w:rsidR="000476FB" w:rsidRDefault="000476FB" w:rsidP="000476FB">
      <w:pPr>
        <w:pStyle w:val="TableParagraph"/>
        <w:ind w:right="163" w:firstLine="720"/>
      </w:pPr>
      <w:r w:rsidRPr="000476FB">
        <w:t>Credit    579000 Other Financing Sources</w:t>
      </w:r>
    </w:p>
    <w:p w14:paraId="171A7BE9" w14:textId="77777777" w:rsidR="00CA64FC" w:rsidRDefault="00CA64FC" w:rsidP="000476FB">
      <w:pPr>
        <w:pStyle w:val="TableParagraph"/>
        <w:ind w:right="163" w:firstLine="720"/>
      </w:pPr>
    </w:p>
    <w:p w14:paraId="70877C8E" w14:textId="179713AF" w:rsidR="0041006E" w:rsidRPr="0041006E" w:rsidRDefault="005C4A3B" w:rsidP="000310D8">
      <w:pPr>
        <w:pStyle w:val="TableParagraph"/>
        <w:ind w:right="163"/>
        <w:jc w:val="both"/>
        <w:rPr>
          <w:color w:val="FF0000"/>
        </w:rPr>
      </w:pPr>
      <w:r>
        <w:rPr>
          <w:b/>
          <w:bCs/>
          <w:color w:val="FF0000"/>
        </w:rPr>
        <w:t xml:space="preserve">6) </w:t>
      </w:r>
      <w:r w:rsidR="0041006E" w:rsidRPr="0041006E">
        <w:rPr>
          <w:b/>
          <w:bCs/>
          <w:color w:val="FF0000"/>
        </w:rPr>
        <w:t xml:space="preserve">D538 </w:t>
      </w:r>
      <w:r w:rsidR="0041006E" w:rsidRPr="0041006E">
        <w:rPr>
          <w:color w:val="FF0000"/>
        </w:rPr>
        <w:t xml:space="preserve">To record issuance of a new motor vehicle to the customer. The cost of goods sold represents the cost of the new vehicle. Upon sale, adjust inventory allowance to reduce the previously unrealized holding gains/losses. </w:t>
      </w:r>
    </w:p>
    <w:p w14:paraId="6F355F3C" w14:textId="77777777" w:rsidR="0041006E" w:rsidRPr="0041006E" w:rsidRDefault="0041006E" w:rsidP="000310D8">
      <w:pPr>
        <w:pStyle w:val="TableParagraph"/>
        <w:ind w:right="163"/>
        <w:jc w:val="both"/>
        <w:rPr>
          <w:color w:val="FF0000"/>
        </w:rPr>
      </w:pPr>
    </w:p>
    <w:p w14:paraId="4CE2E4AD" w14:textId="77777777" w:rsidR="0041006E" w:rsidRPr="0041006E" w:rsidRDefault="0041006E" w:rsidP="000310D8">
      <w:pPr>
        <w:pStyle w:val="TableParagraph"/>
        <w:ind w:right="163"/>
        <w:jc w:val="both"/>
        <w:rPr>
          <w:color w:val="FF0000"/>
        </w:rPr>
      </w:pPr>
      <w:r w:rsidRPr="0041006E">
        <w:rPr>
          <w:b/>
          <w:bCs/>
          <w:color w:val="FF0000"/>
        </w:rPr>
        <w:t>Comment:</w:t>
      </w:r>
      <w:r w:rsidRPr="0041006E">
        <w:rPr>
          <w:color w:val="FF0000"/>
        </w:rPr>
        <w:t xml:space="preserve"> This entry is a part of how the Department of Defense accounts for its repairable items involving trade-ins. </w:t>
      </w:r>
    </w:p>
    <w:p w14:paraId="390581FC" w14:textId="77777777" w:rsidR="0041006E" w:rsidRDefault="0041006E" w:rsidP="0041006E">
      <w:pPr>
        <w:pStyle w:val="TableParagraph"/>
        <w:ind w:right="163"/>
      </w:pPr>
    </w:p>
    <w:p w14:paraId="14B235C3" w14:textId="77777777" w:rsidR="0041006E" w:rsidRPr="0041006E" w:rsidRDefault="0041006E" w:rsidP="0041006E">
      <w:pPr>
        <w:pStyle w:val="TableParagraph"/>
        <w:ind w:right="163"/>
        <w:rPr>
          <w:color w:val="FF0000"/>
        </w:rPr>
      </w:pPr>
      <w:r w:rsidRPr="0041006E">
        <w:rPr>
          <w:b/>
          <w:bCs/>
          <w:color w:val="FF0000"/>
        </w:rPr>
        <w:t>Reference:</w:t>
      </w:r>
      <w:r w:rsidRPr="0041006E">
        <w:rPr>
          <w:color w:val="FF0000"/>
        </w:rPr>
        <w:t xml:space="preserve"> SFFAS #3: Accounting for Inventory and Related Property 1999 </w:t>
      </w:r>
    </w:p>
    <w:p w14:paraId="0D0F5D9F" w14:textId="77777777" w:rsidR="0041006E" w:rsidRDefault="0041006E" w:rsidP="0041006E">
      <w:pPr>
        <w:pStyle w:val="TableParagraph"/>
        <w:ind w:right="163"/>
      </w:pPr>
    </w:p>
    <w:p w14:paraId="5E6BCDD9" w14:textId="77777777" w:rsidR="0041006E" w:rsidRPr="0041006E" w:rsidRDefault="0041006E" w:rsidP="0041006E">
      <w:pPr>
        <w:pStyle w:val="TableParagraph"/>
        <w:ind w:right="163"/>
        <w:rPr>
          <w:b/>
          <w:bCs/>
          <w:color w:val="FF0000"/>
        </w:rPr>
      </w:pPr>
      <w:r w:rsidRPr="0041006E">
        <w:rPr>
          <w:b/>
          <w:bCs/>
          <w:color w:val="FF0000"/>
        </w:rPr>
        <w:t xml:space="preserve">Budgetary Entry </w:t>
      </w:r>
    </w:p>
    <w:p w14:paraId="664D0838" w14:textId="77777777" w:rsidR="0041006E" w:rsidRDefault="0041006E" w:rsidP="0041006E">
      <w:pPr>
        <w:pStyle w:val="TableParagraph"/>
        <w:ind w:right="163"/>
      </w:pPr>
      <w:r w:rsidRPr="0041006E">
        <w:t xml:space="preserve">None </w:t>
      </w:r>
    </w:p>
    <w:p w14:paraId="443FD547" w14:textId="77777777" w:rsidR="0041006E" w:rsidRDefault="0041006E" w:rsidP="0041006E">
      <w:pPr>
        <w:pStyle w:val="TableParagraph"/>
        <w:ind w:right="163"/>
      </w:pPr>
    </w:p>
    <w:p w14:paraId="1180B42E" w14:textId="77777777" w:rsidR="0041006E" w:rsidRPr="0041006E" w:rsidRDefault="0041006E" w:rsidP="0041006E">
      <w:pPr>
        <w:pStyle w:val="TableParagraph"/>
        <w:ind w:right="163"/>
        <w:rPr>
          <w:b/>
          <w:bCs/>
          <w:color w:val="FF0000"/>
        </w:rPr>
      </w:pPr>
      <w:r w:rsidRPr="0041006E">
        <w:rPr>
          <w:b/>
          <w:bCs/>
          <w:color w:val="FF0000"/>
        </w:rPr>
        <w:t xml:space="preserve">Proprietary Entry </w:t>
      </w:r>
    </w:p>
    <w:p w14:paraId="6AF834FC" w14:textId="77777777" w:rsidR="0041006E" w:rsidRDefault="0041006E" w:rsidP="0041006E">
      <w:pPr>
        <w:pStyle w:val="TableParagraph"/>
        <w:ind w:right="163"/>
      </w:pPr>
      <w:r w:rsidRPr="0041006E">
        <w:t xml:space="preserve">Debit 152900 Inventory - Allowance </w:t>
      </w:r>
    </w:p>
    <w:p w14:paraId="08BAF193" w14:textId="77777777" w:rsidR="0041006E" w:rsidRDefault="0041006E" w:rsidP="0041006E">
      <w:pPr>
        <w:pStyle w:val="TableParagraph"/>
        <w:ind w:right="163"/>
      </w:pPr>
      <w:r w:rsidRPr="0041006E">
        <w:t xml:space="preserve">Debit 650000 Cost of Goods Sold </w:t>
      </w:r>
    </w:p>
    <w:p w14:paraId="64E57761" w14:textId="4F158C7A" w:rsidR="00CA64FC" w:rsidRDefault="0041006E" w:rsidP="0041006E">
      <w:pPr>
        <w:pStyle w:val="TableParagraph"/>
        <w:ind w:right="163" w:firstLine="720"/>
      </w:pPr>
      <w:r w:rsidRPr="0041006E">
        <w:t>Credit 152700 Inventory - Finished Goods</w:t>
      </w:r>
    </w:p>
    <w:p w14:paraId="7DD8ED7E" w14:textId="19DAEEA7" w:rsidR="005C4A3B" w:rsidRDefault="005C4A3B" w:rsidP="0016195A">
      <w:pPr>
        <w:spacing w:after="160"/>
        <w:rPr>
          <w:rFonts w:cstheme="minorHAnsi"/>
          <w:b/>
          <w:bCs/>
          <w:sz w:val="28"/>
          <w:szCs w:val="28"/>
          <w:u w:val="single"/>
        </w:rPr>
      </w:pPr>
      <w:r w:rsidRPr="00C70A55">
        <w:rPr>
          <w:rFonts w:cstheme="minorHAnsi"/>
          <w:b/>
          <w:bCs/>
          <w:sz w:val="28"/>
          <w:szCs w:val="28"/>
          <w:u w:val="single"/>
        </w:rPr>
        <w:lastRenderedPageBreak/>
        <w:t xml:space="preserve">Proprietary Transaction Code </w:t>
      </w:r>
      <w:r>
        <w:rPr>
          <w:rFonts w:cstheme="minorHAnsi"/>
          <w:b/>
          <w:bCs/>
          <w:sz w:val="28"/>
          <w:szCs w:val="28"/>
          <w:u w:val="single"/>
        </w:rPr>
        <w:t>Revisions</w:t>
      </w:r>
      <w:r w:rsidRPr="00C70A55">
        <w:rPr>
          <w:rFonts w:cstheme="minorHAnsi"/>
          <w:b/>
          <w:bCs/>
          <w:sz w:val="28"/>
          <w:szCs w:val="28"/>
          <w:u w:val="single"/>
        </w:rPr>
        <w:t xml:space="preserve"> (FY 202</w:t>
      </w:r>
      <w:r>
        <w:rPr>
          <w:rFonts w:cstheme="minorHAnsi"/>
          <w:b/>
          <w:bCs/>
          <w:sz w:val="28"/>
          <w:szCs w:val="28"/>
          <w:u w:val="single"/>
        </w:rPr>
        <w:t>7</w:t>
      </w:r>
      <w:r w:rsidRPr="00C70A55">
        <w:rPr>
          <w:rFonts w:cstheme="minorHAnsi"/>
          <w:b/>
          <w:bCs/>
          <w:sz w:val="28"/>
          <w:szCs w:val="28"/>
          <w:u w:val="single"/>
        </w:rPr>
        <w:t>)</w:t>
      </w:r>
    </w:p>
    <w:p w14:paraId="2106FDA1" w14:textId="4CEA2A25" w:rsidR="00460350" w:rsidRPr="00460350" w:rsidRDefault="00460350" w:rsidP="0016195A">
      <w:pPr>
        <w:spacing w:after="160"/>
        <w:rPr>
          <w:rFonts w:cstheme="minorHAnsi"/>
          <w:b/>
          <w:bCs/>
          <w:szCs w:val="22"/>
        </w:rPr>
      </w:pPr>
      <w:r>
        <w:rPr>
          <w:rFonts w:cstheme="minorHAnsi"/>
          <w:b/>
          <w:bCs/>
          <w:szCs w:val="22"/>
        </w:rPr>
        <w:t>Unexpended Appropriation Adjustment</w:t>
      </w:r>
      <w:r w:rsidRPr="0016195A">
        <w:rPr>
          <w:rFonts w:cstheme="minorHAnsi"/>
          <w:b/>
          <w:bCs/>
          <w:szCs w:val="22"/>
        </w:rPr>
        <w:t xml:space="preserve"> T</w:t>
      </w:r>
      <w:r>
        <w:rPr>
          <w:rFonts w:cstheme="minorHAnsi"/>
          <w:b/>
          <w:bCs/>
          <w:szCs w:val="22"/>
        </w:rPr>
        <w:t>ransaction</w:t>
      </w:r>
      <w:r w:rsidRPr="0016195A">
        <w:rPr>
          <w:rFonts w:cstheme="minorHAnsi"/>
          <w:b/>
          <w:bCs/>
          <w:szCs w:val="22"/>
        </w:rPr>
        <w:t>s</w:t>
      </w:r>
    </w:p>
    <w:p w14:paraId="3EA66D38" w14:textId="77777777" w:rsidR="00727190" w:rsidRPr="007464EB" w:rsidRDefault="00727190" w:rsidP="000310D8">
      <w:pPr>
        <w:pStyle w:val="PlainText"/>
        <w:keepNext/>
        <w:keepLines/>
        <w:tabs>
          <w:tab w:val="left" w:pos="660"/>
          <w:tab w:val="left" w:pos="1840"/>
          <w:tab w:val="left" w:pos="2940"/>
          <w:tab w:val="left" w:pos="3140"/>
        </w:tabs>
        <w:ind w:left="660" w:hanging="660"/>
        <w:jc w:val="both"/>
        <w:rPr>
          <w:rFonts w:ascii="Times New Roman" w:eastAsia="Times New Roman" w:hAnsi="Times New Roman" w:cs="Times New Roman"/>
          <w:color w:val="0070C0"/>
          <w:sz w:val="22"/>
          <w:szCs w:val="22"/>
          <w:lang w:bidi="en-US"/>
        </w:rPr>
      </w:pPr>
      <w:r>
        <w:rPr>
          <w:rFonts w:ascii="Times New Roman" w:hAnsi="Times New Roman" w:cs="Times New Roman"/>
          <w:b/>
          <w:sz w:val="22"/>
          <w:szCs w:val="22"/>
        </w:rPr>
        <w:t xml:space="preserve">7) </w:t>
      </w:r>
      <w:r w:rsidR="005C4A3B" w:rsidRPr="00727190">
        <w:rPr>
          <w:rFonts w:ascii="Times New Roman" w:eastAsia="Times New Roman" w:hAnsi="Times New Roman" w:cs="Times New Roman"/>
          <w:b/>
          <w:bCs/>
          <w:sz w:val="22"/>
          <w:szCs w:val="22"/>
          <w:lang w:bidi="en-US"/>
        </w:rPr>
        <w:t>A132</w:t>
      </w:r>
      <w:r w:rsidRPr="00727190">
        <w:rPr>
          <w:rFonts w:ascii="Times New Roman" w:eastAsia="Times New Roman" w:hAnsi="Times New Roman" w:cs="Times New Roman"/>
          <w:b/>
          <w:bCs/>
          <w:sz w:val="22"/>
          <w:szCs w:val="22"/>
          <w:lang w:bidi="en-US"/>
        </w:rPr>
        <w:t xml:space="preserve"> </w:t>
      </w:r>
      <w:r w:rsidR="005C4A3B" w:rsidRPr="00727190">
        <w:rPr>
          <w:rFonts w:ascii="Times New Roman" w:eastAsia="Times New Roman" w:hAnsi="Times New Roman" w:cs="Times New Roman"/>
          <w:sz w:val="22"/>
          <w:szCs w:val="22"/>
          <w:lang w:bidi="en-US"/>
        </w:rPr>
        <w:t xml:space="preserve">To record a permanent reduction of </w:t>
      </w:r>
      <w:r w:rsidR="005C4A3B" w:rsidRPr="007464EB">
        <w:rPr>
          <w:rFonts w:ascii="Times New Roman" w:eastAsia="Times New Roman" w:hAnsi="Times New Roman" w:cs="Times New Roman"/>
          <w:color w:val="0070C0"/>
          <w:sz w:val="22"/>
          <w:szCs w:val="22"/>
          <w:lang w:bidi="en-US"/>
        </w:rPr>
        <w:t xml:space="preserve">unexpended balances where </w:t>
      </w:r>
      <w:r w:rsidR="005C4A3B" w:rsidRPr="00727190">
        <w:rPr>
          <w:rFonts w:ascii="Times New Roman" w:eastAsia="Times New Roman" w:hAnsi="Times New Roman" w:cs="Times New Roman"/>
          <w:sz w:val="22"/>
          <w:szCs w:val="22"/>
          <w:lang w:bidi="en-US"/>
        </w:rPr>
        <w:t>an appropriation</w:t>
      </w:r>
      <w:r w:rsidR="005C4A3B" w:rsidRPr="007464EB">
        <w:rPr>
          <w:rFonts w:ascii="Times New Roman" w:eastAsia="Times New Roman" w:hAnsi="Times New Roman" w:cs="Times New Roman"/>
          <w:strike/>
          <w:color w:val="FF0000"/>
          <w:sz w:val="22"/>
          <w:szCs w:val="22"/>
          <w:lang w:bidi="en-US"/>
        </w:rPr>
        <w:t>s</w:t>
      </w:r>
      <w:r w:rsidR="005C4A3B" w:rsidRPr="00727190">
        <w:rPr>
          <w:rFonts w:ascii="Times New Roman" w:eastAsia="Times New Roman" w:hAnsi="Times New Roman" w:cs="Times New Roman"/>
          <w:sz w:val="22"/>
          <w:szCs w:val="22"/>
          <w:lang w:bidi="en-US"/>
        </w:rPr>
        <w:t xml:space="preserve"> </w:t>
      </w:r>
      <w:r w:rsidR="005C4A3B" w:rsidRPr="007464EB">
        <w:rPr>
          <w:rFonts w:ascii="Times New Roman" w:eastAsia="Times New Roman" w:hAnsi="Times New Roman" w:cs="Times New Roman"/>
          <w:color w:val="0070C0"/>
          <w:sz w:val="22"/>
          <w:szCs w:val="22"/>
          <w:lang w:bidi="en-US"/>
        </w:rPr>
        <w:t>warrant was</w:t>
      </w:r>
      <w:r w:rsidRPr="007464EB">
        <w:rPr>
          <w:rFonts w:ascii="Times New Roman" w:eastAsia="Times New Roman" w:hAnsi="Times New Roman" w:cs="Times New Roman"/>
          <w:color w:val="0070C0"/>
          <w:sz w:val="22"/>
          <w:szCs w:val="22"/>
          <w:lang w:bidi="en-US"/>
        </w:rPr>
        <w:t xml:space="preserve"> </w:t>
      </w:r>
    </w:p>
    <w:p w14:paraId="3C2A3953" w14:textId="3DAA059F" w:rsidR="005C4A3B" w:rsidRPr="007464EB" w:rsidRDefault="005C4A3B" w:rsidP="000310D8">
      <w:pPr>
        <w:pStyle w:val="PlainText"/>
        <w:keepNext/>
        <w:keepLines/>
        <w:tabs>
          <w:tab w:val="left" w:pos="660"/>
          <w:tab w:val="left" w:pos="1840"/>
          <w:tab w:val="left" w:pos="2940"/>
          <w:tab w:val="left" w:pos="3140"/>
        </w:tabs>
        <w:ind w:left="660" w:hanging="660"/>
        <w:jc w:val="both"/>
        <w:rPr>
          <w:rFonts w:ascii="Times New Roman" w:hAnsi="Times New Roman" w:cs="Times New Roman"/>
          <w:color w:val="0070C0"/>
          <w:sz w:val="22"/>
          <w:szCs w:val="22"/>
        </w:rPr>
      </w:pPr>
      <w:r w:rsidRPr="007464EB">
        <w:rPr>
          <w:rFonts w:ascii="Times New Roman" w:eastAsia="Times New Roman" w:hAnsi="Times New Roman" w:cs="Times New Roman"/>
          <w:color w:val="0070C0"/>
          <w:sz w:val="22"/>
          <w:szCs w:val="22"/>
          <w:lang w:bidi="en-US"/>
        </w:rPr>
        <w:t>originally recorded.</w:t>
      </w:r>
    </w:p>
    <w:p w14:paraId="32C55AC7" w14:textId="77777777" w:rsidR="00105299" w:rsidRPr="00727190" w:rsidRDefault="00105299" w:rsidP="000310D8">
      <w:pPr>
        <w:pStyle w:val="PlainText"/>
        <w:keepNext/>
        <w:keepLines/>
        <w:tabs>
          <w:tab w:val="left" w:pos="660"/>
          <w:tab w:val="left" w:pos="1840"/>
          <w:tab w:val="left" w:pos="2940"/>
          <w:tab w:val="left" w:pos="3140"/>
        </w:tabs>
        <w:ind w:left="660" w:hanging="660"/>
        <w:jc w:val="both"/>
        <w:rPr>
          <w:rFonts w:ascii="Times New Roman" w:hAnsi="Times New Roman" w:cs="Times New Roman"/>
          <w:color w:val="0070C0"/>
          <w:sz w:val="16"/>
          <w:szCs w:val="16"/>
        </w:rPr>
      </w:pPr>
    </w:p>
    <w:p w14:paraId="3AE5F4A7" w14:textId="4649C445" w:rsidR="005C4A3B" w:rsidRDefault="005C4A3B" w:rsidP="000310D8">
      <w:pPr>
        <w:pStyle w:val="TableParagraph"/>
        <w:ind w:right="163"/>
        <w:jc w:val="both"/>
        <w:rPr>
          <w:b/>
          <w:bCs/>
        </w:rPr>
      </w:pPr>
      <w:r w:rsidRPr="00105299">
        <w:rPr>
          <w:b/>
          <w:bCs/>
        </w:rPr>
        <w:t>Comment</w:t>
      </w:r>
      <w:r w:rsidRPr="00105299">
        <w:t>:</w:t>
      </w:r>
      <w:r w:rsidR="00105299">
        <w:t xml:space="preserve"> </w:t>
      </w:r>
      <w:r w:rsidRPr="00105299">
        <w:t>Credit USSGL account 299100 if fund withdrawal does not occur simultaneously. For withdrawal of funds, see USSGL TC-A141. Refer to Office of Management and Budget Circular No. A-11 for the definition of reductions. Reductions include rescissions, across-the-board reductions, and sequestrations. Special and trust funds receiving appropriations from the General Fund of the U.S. Government and/or transfers of unexpended appropriations may record USSGL accounts in the 310000 series. While it is acceptable to debit USSGL account 462000 in this situation, it is never acceptable for the balance in USSGL account 462000 to be a debit.</w:t>
      </w:r>
    </w:p>
    <w:p w14:paraId="448BF344" w14:textId="77777777" w:rsidR="00727190" w:rsidRPr="00727190" w:rsidRDefault="00727190" w:rsidP="000310D8">
      <w:pPr>
        <w:pStyle w:val="TableParagraph"/>
        <w:ind w:right="163"/>
        <w:jc w:val="both"/>
        <w:rPr>
          <w:b/>
          <w:bCs/>
          <w:sz w:val="16"/>
          <w:szCs w:val="16"/>
        </w:rPr>
      </w:pPr>
    </w:p>
    <w:p w14:paraId="22E779CB" w14:textId="7CEE7588" w:rsidR="005C4A3B" w:rsidRPr="00727190" w:rsidRDefault="005C4A3B" w:rsidP="000310D8">
      <w:pPr>
        <w:pStyle w:val="TableParagraph"/>
        <w:ind w:right="163"/>
        <w:jc w:val="both"/>
        <w:rPr>
          <w:b/>
          <w:bCs/>
        </w:rPr>
      </w:pPr>
      <w:r w:rsidRPr="00727190">
        <w:rPr>
          <w:b/>
          <w:bCs/>
        </w:rPr>
        <w:t>Reference:</w:t>
      </w:r>
      <w:r w:rsidR="00105299" w:rsidRPr="00727190">
        <w:rPr>
          <w:b/>
          <w:bCs/>
        </w:rPr>
        <w:t xml:space="preserve"> </w:t>
      </w:r>
      <w:r w:rsidRPr="00727190">
        <w:t xml:space="preserve">Permanent Reduction to General Fund Appropriation 2019; Appropriations Provided </w:t>
      </w:r>
      <w:proofErr w:type="gramStart"/>
      <w:r w:rsidRPr="00727190">
        <w:t>By</w:t>
      </w:r>
      <w:proofErr w:type="gramEnd"/>
      <w:r w:rsidR="00727190" w:rsidRPr="00727190">
        <w:t xml:space="preserve"> </w:t>
      </w:r>
      <w:r w:rsidR="00105299" w:rsidRPr="00727190">
        <w:t xml:space="preserve">a </w:t>
      </w:r>
      <w:r w:rsidRPr="00727190">
        <w:t>Continuing Resolution 2020</w:t>
      </w:r>
    </w:p>
    <w:p w14:paraId="25383365" w14:textId="39870298" w:rsidR="005C4A3B" w:rsidRPr="005C4A3B" w:rsidRDefault="005C4A3B" w:rsidP="005C4A3B">
      <w:pPr>
        <w:pStyle w:val="PlainText"/>
        <w:keepNext/>
        <w:keepLines/>
        <w:tabs>
          <w:tab w:val="left" w:pos="660"/>
          <w:tab w:val="left" w:pos="1840"/>
          <w:tab w:val="left" w:pos="2940"/>
          <w:tab w:val="left" w:pos="3140"/>
        </w:tabs>
        <w:spacing w:before="120"/>
        <w:ind w:left="660" w:hanging="660"/>
        <w:rPr>
          <w:rFonts w:ascii="Times New Roman" w:hAnsi="Times New Roman" w:cs="Times New Roman"/>
          <w:b/>
          <w:sz w:val="22"/>
          <w:szCs w:val="22"/>
        </w:rPr>
      </w:pPr>
      <w:r w:rsidRPr="005C4A3B">
        <w:rPr>
          <w:rFonts w:ascii="Times New Roman" w:hAnsi="Times New Roman" w:cs="Times New Roman"/>
          <w:b/>
          <w:sz w:val="22"/>
          <w:szCs w:val="22"/>
        </w:rPr>
        <w:t>Budgetary Entry</w:t>
      </w:r>
    </w:p>
    <w:p w14:paraId="78186A94" w14:textId="62CC16C5" w:rsidR="005C4A3B" w:rsidRPr="005C4A3B" w:rsidRDefault="005C4A3B" w:rsidP="005C4A3B">
      <w:pPr>
        <w:pStyle w:val="TableParagraph"/>
        <w:ind w:right="163"/>
      </w:pPr>
      <w:r w:rsidRPr="005C4A3B">
        <w:t>Debit</w:t>
      </w:r>
      <w:r>
        <w:t xml:space="preserve"> </w:t>
      </w:r>
      <w:r w:rsidRPr="005C4A3B">
        <w:t>445000</w:t>
      </w:r>
      <w:r>
        <w:t xml:space="preserve"> </w:t>
      </w:r>
      <w:proofErr w:type="spellStart"/>
      <w:r w:rsidRPr="005C4A3B">
        <w:t>Unapportioned</w:t>
      </w:r>
      <w:proofErr w:type="spellEnd"/>
      <w:r w:rsidRPr="005C4A3B">
        <w:t xml:space="preserve"> - Unexpired Authority</w:t>
      </w:r>
    </w:p>
    <w:p w14:paraId="5BBD9524" w14:textId="7054BF91" w:rsidR="005C4A3B" w:rsidRPr="005C4A3B" w:rsidRDefault="005C4A3B" w:rsidP="005C4A3B">
      <w:pPr>
        <w:pStyle w:val="TableParagraph"/>
        <w:ind w:right="163"/>
      </w:pPr>
      <w:r w:rsidRPr="005C4A3B">
        <w:t>Debit</w:t>
      </w:r>
      <w:r>
        <w:t xml:space="preserve"> </w:t>
      </w:r>
      <w:r w:rsidRPr="005C4A3B">
        <w:t>462000</w:t>
      </w:r>
      <w:r>
        <w:t xml:space="preserve"> </w:t>
      </w:r>
      <w:r w:rsidRPr="005C4A3B">
        <w:t xml:space="preserve">Unobligated Funds Exempt </w:t>
      </w:r>
      <w:proofErr w:type="gramStart"/>
      <w:r w:rsidRPr="005C4A3B">
        <w:t>From</w:t>
      </w:r>
      <w:proofErr w:type="gramEnd"/>
      <w:r w:rsidRPr="005C4A3B">
        <w:t xml:space="preserve"> Apportionment</w:t>
      </w:r>
    </w:p>
    <w:p w14:paraId="130F7D24" w14:textId="1D6B5D0D" w:rsidR="005C4A3B" w:rsidRPr="005C4A3B" w:rsidRDefault="005C4A3B" w:rsidP="005C4A3B">
      <w:pPr>
        <w:pStyle w:val="PlainText"/>
        <w:keepNext/>
        <w:keepLines/>
        <w:tabs>
          <w:tab w:val="left" w:pos="660"/>
          <w:tab w:val="left" w:pos="1840"/>
          <w:tab w:val="left" w:pos="2940"/>
          <w:tab w:val="left" w:pos="3140"/>
        </w:tabs>
        <w:rPr>
          <w:rFonts w:ascii="Times New Roman" w:hAnsi="Times New Roman" w:cs="Times New Roman"/>
          <w:color w:val="0070C0"/>
          <w:sz w:val="22"/>
          <w:szCs w:val="22"/>
        </w:rPr>
      </w:pPr>
      <w:r>
        <w:rPr>
          <w:rFonts w:ascii="Times New Roman" w:hAnsi="Times New Roman" w:cs="Times New Roman"/>
          <w:b/>
          <w:sz w:val="22"/>
          <w:szCs w:val="22"/>
        </w:rPr>
        <w:tab/>
      </w:r>
      <w:r w:rsidRPr="005C4A3B">
        <w:rPr>
          <w:rFonts w:ascii="Times New Roman" w:hAnsi="Times New Roman" w:cs="Times New Roman"/>
          <w:sz w:val="22"/>
          <w:szCs w:val="22"/>
        </w:rPr>
        <w:t>Credi</w:t>
      </w:r>
      <w:r>
        <w:rPr>
          <w:rFonts w:ascii="Times New Roman" w:hAnsi="Times New Roman" w:cs="Times New Roman"/>
          <w:sz w:val="22"/>
          <w:szCs w:val="22"/>
        </w:rPr>
        <w:t xml:space="preserve">t </w:t>
      </w:r>
      <w:r w:rsidRPr="005C4A3B">
        <w:rPr>
          <w:rFonts w:ascii="Times New Roman" w:hAnsi="Times New Roman" w:cs="Times New Roman"/>
          <w:sz w:val="22"/>
          <w:szCs w:val="22"/>
        </w:rPr>
        <w:t>43920</w:t>
      </w:r>
      <w:r>
        <w:rPr>
          <w:rFonts w:ascii="Times New Roman" w:hAnsi="Times New Roman" w:cs="Times New Roman"/>
          <w:sz w:val="22"/>
          <w:szCs w:val="22"/>
        </w:rPr>
        <w:t xml:space="preserve">0 </w:t>
      </w:r>
      <w:r w:rsidRPr="005C4A3B">
        <w:rPr>
          <w:rFonts w:ascii="Times New Roman" w:hAnsi="Times New Roman" w:cs="Times New Roman"/>
          <w:sz w:val="22"/>
          <w:szCs w:val="22"/>
        </w:rPr>
        <w:t xml:space="preserve">Permanent Reduction - New Budget Authority </w:t>
      </w:r>
      <w:r w:rsidR="004A0D6F">
        <w:rPr>
          <w:rFonts w:ascii="Times New Roman" w:hAnsi="Times New Roman" w:cs="Times New Roman"/>
          <w:color w:val="0070C0"/>
          <w:sz w:val="22"/>
          <w:szCs w:val="22"/>
        </w:rPr>
        <w:t>-</w:t>
      </w:r>
      <w:r w:rsidRPr="005C4A3B">
        <w:rPr>
          <w:rFonts w:ascii="Times New Roman" w:hAnsi="Times New Roman" w:cs="Times New Roman"/>
          <w:color w:val="0070C0"/>
          <w:sz w:val="22"/>
          <w:szCs w:val="22"/>
        </w:rPr>
        <w:t xml:space="preserve"> Recission Warrant</w:t>
      </w:r>
    </w:p>
    <w:p w14:paraId="4D51ACBE" w14:textId="5C4D65B5" w:rsidR="005C4A3B" w:rsidRPr="005C4A3B" w:rsidRDefault="005C4A3B" w:rsidP="00727190">
      <w:pPr>
        <w:pStyle w:val="PlainText"/>
        <w:keepNext/>
        <w:keepLines/>
        <w:tabs>
          <w:tab w:val="left" w:pos="660"/>
          <w:tab w:val="left" w:pos="1840"/>
          <w:tab w:val="left" w:pos="2940"/>
          <w:tab w:val="left" w:pos="3140"/>
        </w:tabs>
        <w:ind w:left="2940" w:hanging="2940"/>
        <w:rPr>
          <w:rFonts w:ascii="Times New Roman" w:hAnsi="Times New Roman" w:cs="Times New Roman"/>
          <w:color w:val="0070C0"/>
          <w:sz w:val="22"/>
          <w:szCs w:val="22"/>
        </w:rPr>
      </w:pPr>
      <w:r>
        <w:rPr>
          <w:rFonts w:ascii="Times New Roman" w:hAnsi="Times New Roman" w:cs="Times New Roman"/>
          <w:color w:val="0070C0"/>
          <w:sz w:val="22"/>
          <w:szCs w:val="22"/>
        </w:rPr>
        <w:tab/>
      </w:r>
      <w:r w:rsidRPr="005C4A3B">
        <w:rPr>
          <w:rFonts w:ascii="Times New Roman" w:hAnsi="Times New Roman" w:cs="Times New Roman"/>
          <w:sz w:val="22"/>
          <w:szCs w:val="22"/>
        </w:rPr>
        <w:t>Credi</w:t>
      </w:r>
      <w:r>
        <w:rPr>
          <w:rFonts w:ascii="Times New Roman" w:hAnsi="Times New Roman" w:cs="Times New Roman"/>
          <w:sz w:val="22"/>
          <w:szCs w:val="22"/>
        </w:rPr>
        <w:t xml:space="preserve">t </w:t>
      </w:r>
      <w:r w:rsidRPr="005C4A3B">
        <w:rPr>
          <w:rFonts w:ascii="Times New Roman" w:hAnsi="Times New Roman" w:cs="Times New Roman"/>
          <w:sz w:val="22"/>
          <w:szCs w:val="22"/>
        </w:rPr>
        <w:t>439300</w:t>
      </w:r>
      <w:r>
        <w:rPr>
          <w:rFonts w:ascii="Times New Roman" w:hAnsi="Times New Roman" w:cs="Times New Roman"/>
          <w:sz w:val="22"/>
          <w:szCs w:val="22"/>
        </w:rPr>
        <w:t xml:space="preserve"> </w:t>
      </w:r>
      <w:r w:rsidRPr="005C4A3B">
        <w:rPr>
          <w:rFonts w:ascii="Times New Roman" w:hAnsi="Times New Roman" w:cs="Times New Roman"/>
          <w:sz w:val="22"/>
          <w:szCs w:val="22"/>
        </w:rPr>
        <w:t xml:space="preserve">Permanent Reduction - Prior-Year Balances </w:t>
      </w:r>
      <w:r w:rsidR="004A0D6F">
        <w:rPr>
          <w:rFonts w:ascii="Times New Roman" w:hAnsi="Times New Roman" w:cs="Times New Roman"/>
          <w:color w:val="0070C0"/>
          <w:sz w:val="22"/>
          <w:szCs w:val="22"/>
        </w:rPr>
        <w:t>-</w:t>
      </w:r>
      <w:r w:rsidRPr="005C4A3B">
        <w:rPr>
          <w:rFonts w:ascii="Times New Roman" w:hAnsi="Times New Roman" w:cs="Times New Roman"/>
          <w:color w:val="0070C0"/>
          <w:sz w:val="22"/>
          <w:szCs w:val="22"/>
        </w:rPr>
        <w:t xml:space="preserve"> Recission Warrant</w:t>
      </w:r>
    </w:p>
    <w:p w14:paraId="515CE245" w14:textId="18EFC87B" w:rsidR="005C4A3B" w:rsidRPr="005C4A3B" w:rsidRDefault="005C4A3B" w:rsidP="005C4A3B">
      <w:pPr>
        <w:pStyle w:val="PlainText"/>
        <w:keepNext/>
        <w:keepLines/>
        <w:tabs>
          <w:tab w:val="left" w:pos="660"/>
          <w:tab w:val="left" w:pos="1840"/>
          <w:tab w:val="left" w:pos="2940"/>
          <w:tab w:val="left" w:pos="3140"/>
        </w:tabs>
        <w:spacing w:before="120"/>
        <w:ind w:left="660" w:hanging="660"/>
        <w:rPr>
          <w:rFonts w:ascii="Times New Roman" w:hAnsi="Times New Roman" w:cs="Times New Roman"/>
          <w:b/>
          <w:sz w:val="22"/>
          <w:szCs w:val="22"/>
        </w:rPr>
      </w:pPr>
      <w:r w:rsidRPr="005C4A3B">
        <w:rPr>
          <w:rFonts w:ascii="Times New Roman" w:hAnsi="Times New Roman" w:cs="Times New Roman"/>
          <w:b/>
          <w:sz w:val="22"/>
          <w:szCs w:val="22"/>
        </w:rPr>
        <w:t>Proprietary Entry</w:t>
      </w:r>
    </w:p>
    <w:p w14:paraId="73614475" w14:textId="32924684" w:rsidR="005C4A3B" w:rsidRPr="00D62A8A" w:rsidRDefault="005C4A3B" w:rsidP="005C4A3B">
      <w:pPr>
        <w:pStyle w:val="PlainText"/>
        <w:keepNext/>
        <w:keepLines/>
        <w:tabs>
          <w:tab w:val="left" w:pos="660"/>
          <w:tab w:val="left" w:pos="1840"/>
          <w:tab w:val="left" w:pos="2940"/>
          <w:tab w:val="left" w:pos="3140"/>
        </w:tabs>
        <w:ind w:left="2940" w:hanging="2940"/>
        <w:rPr>
          <w:rFonts w:ascii="Times New Roman" w:hAnsi="Times New Roman" w:cs="Times New Roman"/>
          <w:strike/>
          <w:color w:val="FF0000"/>
          <w:sz w:val="22"/>
          <w:szCs w:val="22"/>
        </w:rPr>
      </w:pPr>
      <w:r w:rsidRPr="00D62A8A">
        <w:rPr>
          <w:rFonts w:ascii="Times New Roman" w:hAnsi="Times New Roman" w:cs="Times New Roman"/>
          <w:strike/>
          <w:color w:val="FF0000"/>
          <w:sz w:val="22"/>
          <w:szCs w:val="22"/>
        </w:rPr>
        <w:t xml:space="preserve">Debit 310600 Unexpended Appropriations </w:t>
      </w:r>
      <w:r w:rsidR="004A0D6F" w:rsidRPr="00D62A8A">
        <w:rPr>
          <w:rFonts w:ascii="Times New Roman" w:hAnsi="Times New Roman" w:cs="Times New Roman"/>
          <w:strike/>
          <w:color w:val="FF0000"/>
          <w:sz w:val="22"/>
          <w:szCs w:val="22"/>
        </w:rPr>
        <w:t>-</w:t>
      </w:r>
      <w:r w:rsidRPr="00D62A8A">
        <w:rPr>
          <w:rFonts w:ascii="Times New Roman" w:hAnsi="Times New Roman" w:cs="Times New Roman"/>
          <w:strike/>
          <w:color w:val="FF0000"/>
          <w:sz w:val="22"/>
          <w:szCs w:val="22"/>
        </w:rPr>
        <w:t xml:space="preserve"> Adjustments</w:t>
      </w:r>
    </w:p>
    <w:p w14:paraId="758C4312" w14:textId="1F0FE06B" w:rsidR="005C4A3B" w:rsidRPr="005C4A3B" w:rsidRDefault="005C4A3B" w:rsidP="005C4A3B">
      <w:pPr>
        <w:pStyle w:val="PlainText"/>
        <w:keepNext/>
        <w:keepLines/>
        <w:tabs>
          <w:tab w:val="left" w:pos="660"/>
          <w:tab w:val="left" w:pos="1840"/>
          <w:tab w:val="left" w:pos="2940"/>
          <w:tab w:val="left" w:pos="3140"/>
        </w:tabs>
        <w:ind w:left="2940" w:hanging="2940"/>
        <w:rPr>
          <w:rFonts w:ascii="Times New Roman" w:hAnsi="Times New Roman" w:cs="Times New Roman"/>
          <w:sz w:val="22"/>
          <w:szCs w:val="22"/>
        </w:rPr>
      </w:pPr>
      <w:r w:rsidRPr="005C4A3B">
        <w:rPr>
          <w:rFonts w:ascii="Times New Roman" w:hAnsi="Times New Roman" w:cs="Times New Roman"/>
          <w:color w:val="0070C0"/>
          <w:sz w:val="22"/>
          <w:szCs w:val="22"/>
        </w:rPr>
        <w:t>Debit 310610</w:t>
      </w:r>
      <w:r>
        <w:rPr>
          <w:rFonts w:ascii="Times New Roman" w:hAnsi="Times New Roman" w:cs="Times New Roman"/>
          <w:color w:val="0070C0"/>
          <w:sz w:val="22"/>
          <w:szCs w:val="22"/>
        </w:rPr>
        <w:t xml:space="preserve"> </w:t>
      </w:r>
      <w:r w:rsidR="002E1FCE" w:rsidRPr="002E1FCE">
        <w:rPr>
          <w:rFonts w:ascii="Times New Roman" w:hAnsi="Times New Roman" w:cs="Times New Roman"/>
          <w:color w:val="0070C0"/>
          <w:sz w:val="22"/>
          <w:szCs w:val="22"/>
        </w:rPr>
        <w:t>Unexpended Appropriations – Adjustments due to Permanent Reduction/Capital Transfer</w:t>
      </w:r>
    </w:p>
    <w:p w14:paraId="20F6126F" w14:textId="55454AA4" w:rsidR="005C4A3B" w:rsidRPr="005C4A3B" w:rsidRDefault="005C4A3B" w:rsidP="005C4A3B">
      <w:pPr>
        <w:pStyle w:val="PlainText"/>
        <w:keepNext/>
        <w:keepLines/>
        <w:tabs>
          <w:tab w:val="left" w:pos="660"/>
          <w:tab w:val="left" w:pos="1840"/>
          <w:tab w:val="left" w:pos="2940"/>
          <w:tab w:val="left" w:pos="3140"/>
        </w:tabs>
        <w:ind w:left="3140" w:hanging="3140"/>
        <w:rPr>
          <w:rFonts w:ascii="Times New Roman" w:hAnsi="Times New Roman" w:cs="Times New Roman"/>
          <w:sz w:val="22"/>
          <w:szCs w:val="22"/>
        </w:rPr>
      </w:pPr>
      <w:r>
        <w:rPr>
          <w:rFonts w:ascii="Times New Roman" w:hAnsi="Times New Roman" w:cs="Times New Roman"/>
          <w:b/>
          <w:sz w:val="22"/>
          <w:szCs w:val="22"/>
        </w:rPr>
        <w:tab/>
      </w:r>
      <w:r w:rsidRPr="005C4A3B">
        <w:rPr>
          <w:rFonts w:ascii="Times New Roman" w:hAnsi="Times New Roman" w:cs="Times New Roman"/>
          <w:sz w:val="22"/>
          <w:szCs w:val="22"/>
        </w:rPr>
        <w:t>Credi</w:t>
      </w:r>
      <w:r>
        <w:rPr>
          <w:rFonts w:ascii="Times New Roman" w:hAnsi="Times New Roman" w:cs="Times New Roman"/>
          <w:sz w:val="22"/>
          <w:szCs w:val="22"/>
        </w:rPr>
        <w:t xml:space="preserve">t </w:t>
      </w:r>
      <w:r w:rsidRPr="005C4A3B">
        <w:rPr>
          <w:rFonts w:ascii="Times New Roman" w:hAnsi="Times New Roman" w:cs="Times New Roman"/>
          <w:sz w:val="22"/>
          <w:szCs w:val="22"/>
        </w:rPr>
        <w:t>101000</w:t>
      </w:r>
      <w:r>
        <w:rPr>
          <w:rFonts w:ascii="Times New Roman" w:hAnsi="Times New Roman" w:cs="Times New Roman"/>
          <w:sz w:val="22"/>
          <w:szCs w:val="22"/>
        </w:rPr>
        <w:t xml:space="preserve"> </w:t>
      </w:r>
      <w:r w:rsidRPr="005C4A3B">
        <w:rPr>
          <w:rFonts w:ascii="Times New Roman" w:hAnsi="Times New Roman" w:cs="Times New Roman"/>
          <w:sz w:val="22"/>
          <w:szCs w:val="22"/>
        </w:rPr>
        <w:t xml:space="preserve">Fund Balance </w:t>
      </w:r>
      <w:proofErr w:type="gramStart"/>
      <w:r w:rsidRPr="005C4A3B">
        <w:rPr>
          <w:rFonts w:ascii="Times New Roman" w:hAnsi="Times New Roman" w:cs="Times New Roman"/>
          <w:sz w:val="22"/>
          <w:szCs w:val="22"/>
        </w:rPr>
        <w:t>With</w:t>
      </w:r>
      <w:proofErr w:type="gramEnd"/>
      <w:r w:rsidRPr="005C4A3B">
        <w:rPr>
          <w:rFonts w:ascii="Times New Roman" w:hAnsi="Times New Roman" w:cs="Times New Roman"/>
          <w:sz w:val="22"/>
          <w:szCs w:val="22"/>
        </w:rPr>
        <w:t xml:space="preserve"> Treasury</w:t>
      </w:r>
    </w:p>
    <w:p w14:paraId="1B2E00C5" w14:textId="4E5FA16F" w:rsidR="005C4A3B" w:rsidRDefault="005C4A3B" w:rsidP="005C4A3B">
      <w:pPr>
        <w:pStyle w:val="PlainText"/>
        <w:keepNext/>
        <w:keepLines/>
        <w:tabs>
          <w:tab w:val="left" w:pos="660"/>
          <w:tab w:val="left" w:pos="1840"/>
          <w:tab w:val="left" w:pos="2940"/>
          <w:tab w:val="left" w:pos="3140"/>
        </w:tabs>
        <w:ind w:left="660" w:hanging="660"/>
        <w:rPr>
          <w:rFonts w:ascii="Times New Roman" w:hAnsi="Times New Roman" w:cs="Times New Roman"/>
          <w:sz w:val="22"/>
          <w:szCs w:val="22"/>
        </w:rPr>
      </w:pPr>
      <w:r>
        <w:rPr>
          <w:rFonts w:ascii="Times New Roman" w:hAnsi="Times New Roman" w:cs="Times New Roman"/>
          <w:sz w:val="22"/>
          <w:szCs w:val="22"/>
        </w:rPr>
        <w:tab/>
      </w:r>
      <w:r w:rsidRPr="005C4A3B">
        <w:rPr>
          <w:rFonts w:ascii="Times New Roman" w:hAnsi="Times New Roman" w:cs="Times New Roman"/>
          <w:sz w:val="22"/>
          <w:szCs w:val="22"/>
        </w:rPr>
        <w:t>Credi</w:t>
      </w:r>
      <w:r>
        <w:rPr>
          <w:rFonts w:ascii="Times New Roman" w:hAnsi="Times New Roman" w:cs="Times New Roman"/>
          <w:sz w:val="22"/>
          <w:szCs w:val="22"/>
        </w:rPr>
        <w:t xml:space="preserve">t </w:t>
      </w:r>
      <w:r w:rsidRPr="005C4A3B">
        <w:rPr>
          <w:rFonts w:ascii="Times New Roman" w:hAnsi="Times New Roman" w:cs="Times New Roman"/>
          <w:sz w:val="22"/>
          <w:szCs w:val="22"/>
        </w:rPr>
        <w:t>299100</w:t>
      </w:r>
      <w:r>
        <w:rPr>
          <w:rFonts w:ascii="Times New Roman" w:hAnsi="Times New Roman" w:cs="Times New Roman"/>
          <w:sz w:val="22"/>
          <w:szCs w:val="22"/>
        </w:rPr>
        <w:t xml:space="preserve"> </w:t>
      </w:r>
      <w:r w:rsidRPr="005C4A3B">
        <w:rPr>
          <w:rFonts w:ascii="Times New Roman" w:hAnsi="Times New Roman" w:cs="Times New Roman"/>
          <w:sz w:val="22"/>
          <w:szCs w:val="22"/>
        </w:rPr>
        <w:t xml:space="preserve">Other Liabilities </w:t>
      </w:r>
      <w:r w:rsidR="00D62AAF">
        <w:rPr>
          <w:rFonts w:ascii="Times New Roman" w:hAnsi="Times New Roman" w:cs="Times New Roman"/>
          <w:sz w:val="22"/>
          <w:szCs w:val="22"/>
        </w:rPr>
        <w:t>–</w:t>
      </w:r>
      <w:r w:rsidRPr="005C4A3B">
        <w:rPr>
          <w:rFonts w:ascii="Times New Roman" w:hAnsi="Times New Roman" w:cs="Times New Roman"/>
          <w:sz w:val="22"/>
          <w:szCs w:val="22"/>
        </w:rPr>
        <w:t xml:space="preserve"> Reductions</w:t>
      </w:r>
      <w:r w:rsidR="00460350">
        <w:rPr>
          <w:rFonts w:ascii="Times New Roman" w:hAnsi="Times New Roman" w:cs="Times New Roman"/>
          <w:sz w:val="22"/>
          <w:szCs w:val="22"/>
        </w:rPr>
        <w:br/>
      </w:r>
    </w:p>
    <w:p w14:paraId="0B5B6018" w14:textId="77777777" w:rsidR="00D62AAF" w:rsidRDefault="00D62AAF" w:rsidP="005C4A3B">
      <w:pPr>
        <w:pStyle w:val="PlainText"/>
        <w:keepNext/>
        <w:keepLines/>
        <w:tabs>
          <w:tab w:val="left" w:pos="660"/>
          <w:tab w:val="left" w:pos="1840"/>
          <w:tab w:val="left" w:pos="2940"/>
          <w:tab w:val="left" w:pos="3140"/>
        </w:tabs>
        <w:ind w:left="660" w:hanging="660"/>
        <w:rPr>
          <w:rFonts w:ascii="Times New Roman" w:hAnsi="Times New Roman" w:cs="Times New Roman"/>
          <w:sz w:val="22"/>
          <w:szCs w:val="22"/>
        </w:rPr>
      </w:pPr>
    </w:p>
    <w:p w14:paraId="532FECD8" w14:textId="24C822B3" w:rsidR="00D62AAF" w:rsidRDefault="00D62AAF" w:rsidP="000310D8">
      <w:pPr>
        <w:pStyle w:val="PlainText"/>
        <w:keepNext/>
        <w:keepLines/>
        <w:tabs>
          <w:tab w:val="left" w:pos="660"/>
          <w:tab w:val="left" w:pos="1840"/>
          <w:tab w:val="left" w:pos="2940"/>
          <w:tab w:val="left" w:pos="3140"/>
        </w:tabs>
        <w:ind w:left="660" w:hanging="660"/>
        <w:jc w:val="both"/>
        <w:rPr>
          <w:rFonts w:ascii="Times New Roman" w:eastAsia="Times New Roman" w:hAnsi="Times New Roman" w:cs="Times New Roman"/>
          <w:sz w:val="22"/>
          <w:szCs w:val="22"/>
          <w:lang w:bidi="en-US"/>
        </w:rPr>
      </w:pPr>
      <w:r w:rsidRPr="00D62AAF">
        <w:rPr>
          <w:rFonts w:ascii="Times New Roman" w:hAnsi="Times New Roman" w:cs="Times New Roman"/>
          <w:b/>
          <w:bCs/>
          <w:sz w:val="22"/>
          <w:szCs w:val="22"/>
        </w:rPr>
        <w:t xml:space="preserve">8) </w:t>
      </w:r>
      <w:r w:rsidRPr="00D62AAF">
        <w:rPr>
          <w:rFonts w:ascii="Times New Roman" w:eastAsia="Times New Roman" w:hAnsi="Times New Roman" w:cs="Times New Roman"/>
          <w:b/>
          <w:bCs/>
          <w:sz w:val="22"/>
          <w:szCs w:val="22"/>
          <w:lang w:bidi="en-US"/>
        </w:rPr>
        <w:t>A1</w:t>
      </w:r>
      <w:r w:rsidRPr="00727190">
        <w:rPr>
          <w:rFonts w:ascii="Times New Roman" w:eastAsia="Times New Roman" w:hAnsi="Times New Roman" w:cs="Times New Roman"/>
          <w:b/>
          <w:bCs/>
          <w:sz w:val="22"/>
          <w:szCs w:val="22"/>
          <w:lang w:bidi="en-US"/>
        </w:rPr>
        <w:t>3</w:t>
      </w:r>
      <w:r>
        <w:rPr>
          <w:rFonts w:ascii="Times New Roman" w:eastAsia="Times New Roman" w:hAnsi="Times New Roman" w:cs="Times New Roman"/>
          <w:b/>
          <w:bCs/>
          <w:sz w:val="22"/>
          <w:szCs w:val="22"/>
          <w:lang w:bidi="en-US"/>
        </w:rPr>
        <w:t>6</w:t>
      </w:r>
      <w:r w:rsidRPr="00727190">
        <w:rPr>
          <w:rFonts w:ascii="Times New Roman" w:eastAsia="Times New Roman" w:hAnsi="Times New Roman" w:cs="Times New Roman"/>
          <w:b/>
          <w:bCs/>
          <w:sz w:val="22"/>
          <w:szCs w:val="22"/>
          <w:lang w:bidi="en-US"/>
        </w:rPr>
        <w:t xml:space="preserve"> </w:t>
      </w:r>
      <w:r w:rsidR="00C45168" w:rsidRPr="00C45168">
        <w:rPr>
          <w:rFonts w:ascii="Times New Roman" w:eastAsia="Times New Roman" w:hAnsi="Times New Roman" w:cs="Times New Roman"/>
          <w:sz w:val="22"/>
          <w:szCs w:val="22"/>
          <w:lang w:bidi="en-US"/>
        </w:rPr>
        <w:t xml:space="preserve">To record </w:t>
      </w:r>
      <w:r w:rsidR="00C45168" w:rsidRPr="00C45168">
        <w:rPr>
          <w:rFonts w:ascii="Times New Roman" w:eastAsia="Times New Roman" w:hAnsi="Times New Roman" w:cs="Times New Roman"/>
          <w:color w:val="0070C0"/>
          <w:sz w:val="22"/>
          <w:szCs w:val="22"/>
          <w:lang w:bidi="en-US"/>
        </w:rPr>
        <w:t xml:space="preserve">a permanent reduction (i.e., </w:t>
      </w:r>
      <w:r w:rsidR="00C45168" w:rsidRPr="00C45168">
        <w:rPr>
          <w:rFonts w:ascii="Times New Roman" w:eastAsia="Times New Roman" w:hAnsi="Times New Roman" w:cs="Times New Roman"/>
          <w:sz w:val="22"/>
          <w:szCs w:val="22"/>
          <w:lang w:bidi="en-US"/>
        </w:rPr>
        <w:t>rescission</w:t>
      </w:r>
      <w:r w:rsidR="00C45168" w:rsidRPr="00C45168">
        <w:rPr>
          <w:rFonts w:ascii="Times New Roman" w:eastAsia="Times New Roman" w:hAnsi="Times New Roman" w:cs="Times New Roman"/>
          <w:color w:val="0070C0"/>
          <w:sz w:val="22"/>
          <w:szCs w:val="22"/>
          <w:lang w:bidi="en-US"/>
        </w:rPr>
        <w:t>)</w:t>
      </w:r>
      <w:r w:rsidR="00C45168" w:rsidRPr="00C45168">
        <w:rPr>
          <w:rFonts w:ascii="Times New Roman" w:eastAsia="Times New Roman" w:hAnsi="Times New Roman" w:cs="Times New Roman"/>
          <w:sz w:val="22"/>
          <w:szCs w:val="22"/>
          <w:lang w:bidi="en-US"/>
        </w:rPr>
        <w:t xml:space="preserve"> and withdrawal of funds for balances previously recorded as pending rescission.</w:t>
      </w:r>
    </w:p>
    <w:p w14:paraId="5C1A274B" w14:textId="77777777" w:rsidR="00C45168" w:rsidRPr="00727190" w:rsidRDefault="00C45168" w:rsidP="000310D8">
      <w:pPr>
        <w:pStyle w:val="PlainText"/>
        <w:keepNext/>
        <w:keepLines/>
        <w:tabs>
          <w:tab w:val="left" w:pos="660"/>
          <w:tab w:val="left" w:pos="1840"/>
          <w:tab w:val="left" w:pos="2940"/>
          <w:tab w:val="left" w:pos="3140"/>
        </w:tabs>
        <w:ind w:left="660" w:hanging="660"/>
        <w:jc w:val="both"/>
        <w:rPr>
          <w:rFonts w:ascii="Times New Roman" w:hAnsi="Times New Roman" w:cs="Times New Roman"/>
          <w:color w:val="0070C0"/>
          <w:sz w:val="16"/>
          <w:szCs w:val="16"/>
        </w:rPr>
      </w:pPr>
    </w:p>
    <w:p w14:paraId="709E03E4" w14:textId="77777777" w:rsidR="00D62AAF" w:rsidRDefault="00D62AAF" w:rsidP="000310D8">
      <w:pPr>
        <w:pStyle w:val="TableParagraph"/>
        <w:ind w:right="163"/>
        <w:jc w:val="both"/>
        <w:rPr>
          <w:b/>
          <w:bCs/>
        </w:rPr>
      </w:pPr>
      <w:r w:rsidRPr="00105299">
        <w:rPr>
          <w:b/>
          <w:bCs/>
        </w:rPr>
        <w:t>Comment</w:t>
      </w:r>
      <w:r w:rsidRPr="00105299">
        <w:t>:</w:t>
      </w:r>
      <w:r>
        <w:t xml:space="preserve"> </w:t>
      </w:r>
      <w:r w:rsidRPr="00105299">
        <w:t>Credit USSGL account 299100 if fund withdrawal does not occur simultaneously. For withdrawal of funds, see USSGL TC-A141. Refer to Office of Management and Budget Circular No. A-11 for the definition of reductions. Reductions include rescissions, across-the-board reductions, and sequestrations. Special and trust funds receiving appropriations from the General Fund of the U.S. Government and/or transfers of unexpended appropriations may record USSGL accounts in the 310000 series. While it is acceptable to debit USSGL account 462000 in this situation, it is never acceptable for the balance in USSGL account 462000 to be a debit.</w:t>
      </w:r>
    </w:p>
    <w:p w14:paraId="79083178" w14:textId="77777777" w:rsidR="00D62AAF" w:rsidRPr="00727190" w:rsidRDefault="00D62AAF" w:rsidP="000310D8">
      <w:pPr>
        <w:pStyle w:val="TableParagraph"/>
        <w:ind w:right="163"/>
        <w:jc w:val="both"/>
        <w:rPr>
          <w:b/>
          <w:bCs/>
          <w:sz w:val="16"/>
          <w:szCs w:val="16"/>
        </w:rPr>
      </w:pPr>
    </w:p>
    <w:p w14:paraId="4A5EBB4F" w14:textId="77777777" w:rsidR="00D62AAF" w:rsidRPr="00727190" w:rsidRDefault="00D62AAF" w:rsidP="000310D8">
      <w:pPr>
        <w:pStyle w:val="TableParagraph"/>
        <w:ind w:right="163"/>
        <w:jc w:val="both"/>
        <w:rPr>
          <w:b/>
          <w:bCs/>
        </w:rPr>
      </w:pPr>
      <w:r w:rsidRPr="00727190">
        <w:rPr>
          <w:b/>
          <w:bCs/>
        </w:rPr>
        <w:t xml:space="preserve">Reference: </w:t>
      </w:r>
      <w:r w:rsidRPr="00727190">
        <w:t xml:space="preserve">Permanent Reduction to General Fund Appropriation 2019; Appropriations Provided </w:t>
      </w:r>
      <w:proofErr w:type="gramStart"/>
      <w:r w:rsidRPr="00727190">
        <w:t>By</w:t>
      </w:r>
      <w:proofErr w:type="gramEnd"/>
      <w:r w:rsidRPr="00727190">
        <w:t xml:space="preserve"> a Continuing Resolution 2020</w:t>
      </w:r>
    </w:p>
    <w:p w14:paraId="2F44A323" w14:textId="77777777" w:rsidR="00D62AAF" w:rsidRPr="005C4A3B" w:rsidRDefault="00D62AAF" w:rsidP="00D62AAF">
      <w:pPr>
        <w:pStyle w:val="PlainText"/>
        <w:keepNext/>
        <w:keepLines/>
        <w:tabs>
          <w:tab w:val="left" w:pos="660"/>
          <w:tab w:val="left" w:pos="1840"/>
          <w:tab w:val="left" w:pos="2940"/>
          <w:tab w:val="left" w:pos="3140"/>
        </w:tabs>
        <w:spacing w:before="120"/>
        <w:ind w:left="660" w:hanging="660"/>
        <w:rPr>
          <w:rFonts w:ascii="Times New Roman" w:hAnsi="Times New Roman" w:cs="Times New Roman"/>
          <w:b/>
          <w:sz w:val="22"/>
          <w:szCs w:val="22"/>
        </w:rPr>
      </w:pPr>
      <w:r w:rsidRPr="005C4A3B">
        <w:rPr>
          <w:rFonts w:ascii="Times New Roman" w:hAnsi="Times New Roman" w:cs="Times New Roman"/>
          <w:b/>
          <w:sz w:val="22"/>
          <w:szCs w:val="22"/>
        </w:rPr>
        <w:t>Budgetary Entry</w:t>
      </w:r>
    </w:p>
    <w:p w14:paraId="77333C98" w14:textId="616850AC" w:rsidR="00D62AAF" w:rsidRPr="005C4A3B" w:rsidRDefault="00D62AAF" w:rsidP="00D62AAF">
      <w:pPr>
        <w:pStyle w:val="TableParagraph"/>
        <w:ind w:right="163"/>
      </w:pPr>
      <w:r w:rsidRPr="005C4A3B">
        <w:t>Debit</w:t>
      </w:r>
      <w:r>
        <w:t xml:space="preserve"> </w:t>
      </w:r>
      <w:r w:rsidRPr="005C4A3B">
        <w:t>44</w:t>
      </w:r>
      <w:r w:rsidR="00C45168">
        <w:t>2</w:t>
      </w:r>
      <w:r w:rsidRPr="005C4A3B">
        <w:t>000</w:t>
      </w:r>
      <w:r>
        <w:t xml:space="preserve"> </w:t>
      </w:r>
      <w:proofErr w:type="spellStart"/>
      <w:r w:rsidR="00C45168" w:rsidRPr="00C45168">
        <w:t>Unapportioned</w:t>
      </w:r>
      <w:proofErr w:type="spellEnd"/>
      <w:r w:rsidR="00C45168" w:rsidRPr="00C45168">
        <w:t xml:space="preserve"> Authority - Pending Rescission</w:t>
      </w:r>
    </w:p>
    <w:p w14:paraId="5C0D8FDB" w14:textId="77777777" w:rsidR="00D62AAF" w:rsidRDefault="00D62AAF" w:rsidP="00D62AAF">
      <w:pPr>
        <w:pStyle w:val="TableParagraph"/>
        <w:ind w:right="163"/>
      </w:pPr>
      <w:r w:rsidRPr="005C4A3B">
        <w:t>Debit</w:t>
      </w:r>
      <w:r>
        <w:t xml:space="preserve"> </w:t>
      </w:r>
      <w:r w:rsidRPr="005C4A3B">
        <w:t>462000</w:t>
      </w:r>
      <w:r>
        <w:t xml:space="preserve"> </w:t>
      </w:r>
      <w:r w:rsidRPr="005C4A3B">
        <w:t xml:space="preserve">Unobligated Funds Exempt </w:t>
      </w:r>
      <w:proofErr w:type="gramStart"/>
      <w:r w:rsidRPr="005C4A3B">
        <w:t>From</w:t>
      </w:r>
      <w:proofErr w:type="gramEnd"/>
      <w:r w:rsidRPr="005C4A3B">
        <w:t xml:space="preserve"> Apportionmen</w:t>
      </w:r>
      <w:r>
        <w:t>t</w:t>
      </w:r>
    </w:p>
    <w:p w14:paraId="4F636F55" w14:textId="77777777" w:rsidR="00D62AAF" w:rsidRDefault="00D62AAF" w:rsidP="00D62AAF">
      <w:pPr>
        <w:pStyle w:val="TableParagraph"/>
        <w:ind w:right="163" w:firstLine="720"/>
        <w:rPr>
          <w:color w:val="0070C0"/>
        </w:rPr>
      </w:pPr>
      <w:r w:rsidRPr="005C4A3B">
        <w:t>Credi</w:t>
      </w:r>
      <w:r>
        <w:t xml:space="preserve">t </w:t>
      </w:r>
      <w:r w:rsidRPr="005C4A3B">
        <w:t>43920</w:t>
      </w:r>
      <w:r>
        <w:t xml:space="preserve">0 </w:t>
      </w:r>
      <w:r w:rsidRPr="005C4A3B">
        <w:t xml:space="preserve">Permanent Reduction - New Budget Authority </w:t>
      </w:r>
      <w:r>
        <w:rPr>
          <w:color w:val="0070C0"/>
        </w:rPr>
        <w:t>-</w:t>
      </w:r>
      <w:r w:rsidRPr="005C4A3B">
        <w:rPr>
          <w:color w:val="0070C0"/>
        </w:rPr>
        <w:t xml:space="preserve"> Recission Warrant</w:t>
      </w:r>
    </w:p>
    <w:p w14:paraId="545A06DA" w14:textId="77777777" w:rsidR="00D62AAF" w:rsidRDefault="00D62AAF" w:rsidP="00D62AAF">
      <w:pPr>
        <w:pStyle w:val="TableParagraph"/>
        <w:ind w:left="720" w:right="163"/>
        <w:rPr>
          <w:color w:val="0070C0"/>
        </w:rPr>
      </w:pPr>
      <w:r w:rsidRPr="005C4A3B">
        <w:t>Credi</w:t>
      </w:r>
      <w:r>
        <w:t xml:space="preserve">t </w:t>
      </w:r>
      <w:r w:rsidRPr="005C4A3B">
        <w:t>439300</w:t>
      </w:r>
      <w:r>
        <w:t xml:space="preserve"> </w:t>
      </w:r>
      <w:r w:rsidRPr="005C4A3B">
        <w:t xml:space="preserve">Permanent Reduction - Prior-Year Balances </w:t>
      </w:r>
      <w:r>
        <w:rPr>
          <w:color w:val="0070C0"/>
        </w:rPr>
        <w:t>-</w:t>
      </w:r>
      <w:r w:rsidRPr="005C4A3B">
        <w:rPr>
          <w:color w:val="0070C0"/>
        </w:rPr>
        <w:t xml:space="preserve"> Recission Warrant</w:t>
      </w:r>
    </w:p>
    <w:p w14:paraId="332187B3" w14:textId="77777777" w:rsidR="00D62AAF" w:rsidRDefault="00D62AAF" w:rsidP="00D62AAF">
      <w:pPr>
        <w:pStyle w:val="TableParagraph"/>
        <w:ind w:right="163"/>
        <w:rPr>
          <w:b/>
        </w:rPr>
      </w:pPr>
    </w:p>
    <w:p w14:paraId="014CFE10" w14:textId="77777777" w:rsidR="00D62AAF" w:rsidRDefault="00D62AAF" w:rsidP="00D62AAF">
      <w:pPr>
        <w:pStyle w:val="TableParagraph"/>
        <w:ind w:right="163"/>
        <w:rPr>
          <w:b/>
        </w:rPr>
      </w:pPr>
      <w:r w:rsidRPr="005C4A3B">
        <w:rPr>
          <w:b/>
        </w:rPr>
        <w:t>Proprietary Entr</w:t>
      </w:r>
      <w:r>
        <w:rPr>
          <w:b/>
        </w:rPr>
        <w:t>y</w:t>
      </w:r>
    </w:p>
    <w:p w14:paraId="468FB0B2" w14:textId="229E6AE3" w:rsidR="00D62AAF" w:rsidRPr="00D62A8A" w:rsidRDefault="00D62AAF" w:rsidP="00D62AAF">
      <w:pPr>
        <w:pStyle w:val="TableParagraph"/>
        <w:ind w:right="163"/>
        <w:rPr>
          <w:strike/>
          <w:color w:val="FF0000"/>
        </w:rPr>
      </w:pPr>
      <w:r w:rsidRPr="00D62A8A">
        <w:rPr>
          <w:strike/>
          <w:color w:val="FF0000"/>
        </w:rPr>
        <w:t>Debit 310600 Unexpended Appropriations – Adjustments</w:t>
      </w:r>
    </w:p>
    <w:p w14:paraId="5D09724D" w14:textId="6C02115C" w:rsidR="00D62AAF" w:rsidRDefault="00D62AAF" w:rsidP="00D62AAF">
      <w:pPr>
        <w:pStyle w:val="TableParagraph"/>
        <w:ind w:right="163"/>
        <w:rPr>
          <w:color w:val="0070C0"/>
        </w:rPr>
      </w:pPr>
      <w:r w:rsidRPr="005C4A3B">
        <w:rPr>
          <w:color w:val="0070C0"/>
        </w:rPr>
        <w:lastRenderedPageBreak/>
        <w:t>Debit 310610</w:t>
      </w:r>
      <w:r>
        <w:rPr>
          <w:color w:val="0070C0"/>
        </w:rPr>
        <w:t xml:space="preserve"> </w:t>
      </w:r>
      <w:r w:rsidR="002E1FCE" w:rsidRPr="002E1FCE">
        <w:rPr>
          <w:color w:val="0070C0"/>
        </w:rPr>
        <w:t>Unexpended Appropriations – Adjustments due to Permanent Reduction/Capital Transfer</w:t>
      </w:r>
    </w:p>
    <w:p w14:paraId="47DAE52E" w14:textId="77777777" w:rsidR="00D62AAF" w:rsidRDefault="00D62AAF" w:rsidP="00D62AAF">
      <w:pPr>
        <w:pStyle w:val="TableParagraph"/>
        <w:ind w:right="163" w:firstLine="660"/>
      </w:pPr>
      <w:r w:rsidRPr="005C4A3B">
        <w:t>Credi</w:t>
      </w:r>
      <w:r>
        <w:t xml:space="preserve">t </w:t>
      </w:r>
      <w:r w:rsidRPr="005C4A3B">
        <w:t>101000</w:t>
      </w:r>
      <w:r>
        <w:t xml:space="preserve"> </w:t>
      </w:r>
      <w:r w:rsidRPr="005C4A3B">
        <w:t xml:space="preserve">Fund Balance </w:t>
      </w:r>
      <w:proofErr w:type="gramStart"/>
      <w:r w:rsidRPr="005C4A3B">
        <w:t>With</w:t>
      </w:r>
      <w:proofErr w:type="gramEnd"/>
      <w:r w:rsidRPr="005C4A3B">
        <w:t xml:space="preserve"> Treasury</w:t>
      </w:r>
    </w:p>
    <w:p w14:paraId="5BBD36AF" w14:textId="3396EA15" w:rsidR="00CA64FC" w:rsidRDefault="00D62AAF" w:rsidP="00D62AAF">
      <w:pPr>
        <w:pStyle w:val="TableParagraph"/>
        <w:ind w:right="163" w:firstLine="660"/>
      </w:pPr>
      <w:r w:rsidRPr="005C4A3B">
        <w:t>Credi</w:t>
      </w:r>
      <w:r>
        <w:t xml:space="preserve">t </w:t>
      </w:r>
      <w:r w:rsidRPr="005C4A3B">
        <w:t>299100</w:t>
      </w:r>
      <w:r>
        <w:t xml:space="preserve"> </w:t>
      </w:r>
      <w:r w:rsidRPr="005C4A3B">
        <w:t xml:space="preserve">Other Liabilities </w:t>
      </w:r>
      <w:r>
        <w:t>–</w:t>
      </w:r>
      <w:r w:rsidRPr="005C4A3B">
        <w:t xml:space="preserve"> Reductions</w:t>
      </w:r>
    </w:p>
    <w:p w14:paraId="532A523A" w14:textId="77777777" w:rsidR="00460350" w:rsidRDefault="00460350" w:rsidP="00460350">
      <w:pPr>
        <w:pStyle w:val="TableParagraph"/>
        <w:ind w:right="163"/>
      </w:pPr>
    </w:p>
    <w:p w14:paraId="6111B479" w14:textId="77777777" w:rsidR="00460350" w:rsidRDefault="00460350" w:rsidP="00460350">
      <w:pPr>
        <w:pStyle w:val="TableParagraph"/>
        <w:ind w:right="163"/>
      </w:pPr>
    </w:p>
    <w:p w14:paraId="26C320E4" w14:textId="1538E32C" w:rsidR="00460350" w:rsidRDefault="00B75156" w:rsidP="000310D8">
      <w:pPr>
        <w:pStyle w:val="TableParagraph"/>
        <w:ind w:right="163"/>
        <w:jc w:val="both"/>
      </w:pPr>
      <w:r w:rsidRPr="00B75156">
        <w:rPr>
          <w:b/>
          <w:bCs/>
        </w:rPr>
        <w:t>9) C159</w:t>
      </w:r>
      <w:r>
        <w:t xml:space="preserve"> </w:t>
      </w:r>
      <w:r w:rsidRPr="00B75156">
        <w:t>To record an offset for amounts of recissions transferred to a miscellaneous receipt Treasury Appropriations Symbol (TAFS) to be returned to the General Fund of the U.S. Government.</w:t>
      </w:r>
    </w:p>
    <w:p w14:paraId="5378A691" w14:textId="77777777" w:rsidR="00B75156" w:rsidRDefault="00B75156" w:rsidP="000310D8">
      <w:pPr>
        <w:pStyle w:val="TableParagraph"/>
        <w:ind w:right="163"/>
        <w:jc w:val="both"/>
      </w:pPr>
    </w:p>
    <w:p w14:paraId="6CDF1014" w14:textId="77777777" w:rsidR="00B75156" w:rsidRDefault="00B75156" w:rsidP="000310D8">
      <w:pPr>
        <w:pStyle w:val="TableParagraph"/>
        <w:ind w:right="163"/>
        <w:jc w:val="both"/>
      </w:pPr>
      <w:r w:rsidRPr="00B75156">
        <w:rPr>
          <w:b/>
          <w:bCs/>
        </w:rPr>
        <w:t>Comment:</w:t>
      </w:r>
      <w:r w:rsidRPr="00B75156">
        <w:t xml:space="preserve"> See USSGL TC-F124 for the preclosing entry recorded at year-end. To record in a miscellaneous receipt TAFS an amount that was permanently reduced in an associated General Fund TAFS, see USSGL TC-A209  </w:t>
      </w:r>
    </w:p>
    <w:p w14:paraId="667785E6" w14:textId="77777777" w:rsidR="00B75156" w:rsidRDefault="00B75156" w:rsidP="00460350">
      <w:pPr>
        <w:pStyle w:val="TableParagraph"/>
        <w:ind w:right="163"/>
      </w:pPr>
    </w:p>
    <w:p w14:paraId="163526CC" w14:textId="77777777" w:rsidR="00B75156" w:rsidRDefault="00B75156" w:rsidP="00460350">
      <w:pPr>
        <w:pStyle w:val="TableParagraph"/>
        <w:ind w:right="163"/>
      </w:pPr>
      <w:r w:rsidRPr="00B75156">
        <w:rPr>
          <w:b/>
          <w:bCs/>
        </w:rPr>
        <w:t>Budgetary Entry</w:t>
      </w:r>
    </w:p>
    <w:p w14:paraId="643147B9" w14:textId="6A56923D" w:rsidR="00B75156" w:rsidRDefault="00B75156" w:rsidP="00460350">
      <w:pPr>
        <w:pStyle w:val="TableParagraph"/>
        <w:ind w:right="163"/>
      </w:pPr>
      <w:r w:rsidRPr="00B75156">
        <w:t xml:space="preserve">None  </w:t>
      </w:r>
    </w:p>
    <w:p w14:paraId="07011E46" w14:textId="77777777" w:rsidR="00B75156" w:rsidRDefault="00B75156" w:rsidP="00460350">
      <w:pPr>
        <w:pStyle w:val="TableParagraph"/>
        <w:ind w:right="163"/>
      </w:pPr>
    </w:p>
    <w:p w14:paraId="6F6BD5EF" w14:textId="77777777" w:rsidR="00B75156" w:rsidRDefault="00B75156" w:rsidP="00460350">
      <w:pPr>
        <w:pStyle w:val="TableParagraph"/>
        <w:ind w:right="163"/>
      </w:pPr>
      <w:r w:rsidRPr="00B75156">
        <w:rPr>
          <w:b/>
          <w:bCs/>
        </w:rPr>
        <w:t>Proprietary Entry</w:t>
      </w:r>
      <w:r w:rsidRPr="00B75156">
        <w:t xml:space="preserve">  </w:t>
      </w:r>
    </w:p>
    <w:p w14:paraId="3C119B6E" w14:textId="77777777" w:rsidR="00B75156" w:rsidRDefault="00B75156" w:rsidP="00460350">
      <w:pPr>
        <w:pStyle w:val="TableParagraph"/>
        <w:ind w:right="163"/>
        <w:rPr>
          <w:color w:val="FF0000"/>
        </w:rPr>
      </w:pPr>
      <w:r w:rsidRPr="00B75156">
        <w:rPr>
          <w:strike/>
          <w:color w:val="FF0000"/>
        </w:rPr>
        <w:t>Debit 310600 Unexpended Appropriations - Adjustments</w:t>
      </w:r>
      <w:r w:rsidRPr="00B75156">
        <w:rPr>
          <w:color w:val="FF0000"/>
        </w:rPr>
        <w:t xml:space="preserve">     </w:t>
      </w:r>
    </w:p>
    <w:p w14:paraId="57A64691" w14:textId="1C47111B" w:rsidR="00B75156" w:rsidRPr="00B75156" w:rsidRDefault="00B75156" w:rsidP="00460350">
      <w:pPr>
        <w:pStyle w:val="TableParagraph"/>
        <w:ind w:right="163"/>
        <w:rPr>
          <w:color w:val="0070C0"/>
        </w:rPr>
      </w:pPr>
      <w:r w:rsidRPr="00B75156">
        <w:rPr>
          <w:color w:val="0070C0"/>
        </w:rPr>
        <w:t xml:space="preserve">Debit 310610 </w:t>
      </w:r>
      <w:r w:rsidR="002E1FCE" w:rsidRPr="002E1FCE">
        <w:rPr>
          <w:color w:val="0070C0"/>
        </w:rPr>
        <w:t>Unexpended Appropriations – Adjustments due to Permanent Reduction/Capital Transfer</w:t>
      </w:r>
    </w:p>
    <w:p w14:paraId="1E17B99F" w14:textId="4B74624C" w:rsidR="00B75156" w:rsidRDefault="00B75156" w:rsidP="00B75156">
      <w:pPr>
        <w:pStyle w:val="TableParagraph"/>
        <w:ind w:right="163" w:firstLine="720"/>
      </w:pPr>
      <w:r w:rsidRPr="00B75156">
        <w:t xml:space="preserve">Credit    298500 Liability for Non-Entity Assets Not Reported on the Statement of Custodial </w:t>
      </w:r>
    </w:p>
    <w:p w14:paraId="0ED1150D" w14:textId="077FC34F" w:rsidR="00B75156" w:rsidRDefault="00B75156" w:rsidP="00B75156">
      <w:pPr>
        <w:pStyle w:val="TableParagraph"/>
        <w:ind w:right="163" w:firstLine="720"/>
      </w:pPr>
      <w:r>
        <w:t xml:space="preserve">                           </w:t>
      </w:r>
      <w:r w:rsidRPr="00B75156">
        <w:t>Activity</w:t>
      </w:r>
    </w:p>
    <w:p w14:paraId="00BB8EA4" w14:textId="77777777" w:rsidR="00C25A72" w:rsidRDefault="00C25A72" w:rsidP="00B75156">
      <w:pPr>
        <w:pStyle w:val="TableParagraph"/>
        <w:ind w:right="163" w:firstLine="720"/>
      </w:pPr>
    </w:p>
    <w:p w14:paraId="7AA71180" w14:textId="1AEAA532" w:rsidR="00C25A72" w:rsidRDefault="00C25A72" w:rsidP="00C25A72">
      <w:pPr>
        <w:pStyle w:val="TableParagraph"/>
        <w:ind w:right="163"/>
      </w:pPr>
      <w:r w:rsidRPr="00C25A72">
        <w:rPr>
          <w:b/>
          <w:bCs/>
        </w:rPr>
        <w:t xml:space="preserve">10) F342 </w:t>
      </w:r>
      <w:r w:rsidRPr="00C25A72">
        <w:t>To record closing of fiscal-year activity to unexpended appropriations.</w:t>
      </w:r>
    </w:p>
    <w:p w14:paraId="08670546" w14:textId="77777777" w:rsidR="00623CA3" w:rsidRDefault="00623CA3" w:rsidP="00C25A72">
      <w:pPr>
        <w:pStyle w:val="TableParagraph"/>
        <w:ind w:right="163"/>
      </w:pPr>
    </w:p>
    <w:p w14:paraId="3ECB8869" w14:textId="77777777" w:rsidR="00623CA3" w:rsidRDefault="00623CA3" w:rsidP="00623CA3">
      <w:pPr>
        <w:pStyle w:val="TableParagraph"/>
        <w:ind w:right="163"/>
      </w:pPr>
      <w:r w:rsidRPr="00B75156">
        <w:rPr>
          <w:b/>
          <w:bCs/>
        </w:rPr>
        <w:t>Budgetary Entry</w:t>
      </w:r>
    </w:p>
    <w:p w14:paraId="213D04A8" w14:textId="77777777" w:rsidR="00623CA3" w:rsidRDefault="00623CA3" w:rsidP="00623CA3">
      <w:pPr>
        <w:pStyle w:val="TableParagraph"/>
        <w:ind w:right="163"/>
      </w:pPr>
      <w:r w:rsidRPr="00B75156">
        <w:t xml:space="preserve">None  </w:t>
      </w:r>
    </w:p>
    <w:p w14:paraId="3CE852B6" w14:textId="77777777" w:rsidR="00623CA3" w:rsidRDefault="00623CA3" w:rsidP="00623CA3">
      <w:pPr>
        <w:pStyle w:val="TableParagraph"/>
        <w:ind w:right="163"/>
      </w:pPr>
    </w:p>
    <w:p w14:paraId="37B9D401" w14:textId="77777777" w:rsidR="00623CA3" w:rsidRDefault="00623CA3" w:rsidP="00623CA3">
      <w:pPr>
        <w:pStyle w:val="TableParagraph"/>
        <w:ind w:right="163"/>
      </w:pPr>
      <w:r w:rsidRPr="00B75156">
        <w:rPr>
          <w:b/>
          <w:bCs/>
        </w:rPr>
        <w:t>Proprietary Entry</w:t>
      </w:r>
      <w:r w:rsidRPr="00B75156">
        <w:t xml:space="preserve">  </w:t>
      </w:r>
    </w:p>
    <w:p w14:paraId="70010494" w14:textId="77777777" w:rsidR="00EB5E31" w:rsidRPr="00EB5E31" w:rsidRDefault="00EB5E31" w:rsidP="00C25A72">
      <w:pPr>
        <w:pStyle w:val="TableParagraph"/>
        <w:ind w:right="163"/>
      </w:pPr>
      <w:r w:rsidRPr="00EB5E31">
        <w:t xml:space="preserve">Debit 310000 Unexpended Appropriations - Cumulative  </w:t>
      </w:r>
    </w:p>
    <w:p w14:paraId="5B424608" w14:textId="77777777" w:rsidR="00EB5E31" w:rsidRPr="00EB5E31" w:rsidRDefault="00EB5E31" w:rsidP="00C25A72">
      <w:pPr>
        <w:pStyle w:val="TableParagraph"/>
        <w:ind w:right="163"/>
      </w:pPr>
      <w:r w:rsidRPr="00EB5E31">
        <w:t xml:space="preserve">Debit 310100 Unexpended Appropriations - Appropriations Received  </w:t>
      </w:r>
    </w:p>
    <w:p w14:paraId="54807A86" w14:textId="77777777" w:rsidR="00EB5E31" w:rsidRPr="00EB5E31" w:rsidRDefault="00EB5E31" w:rsidP="00C25A72">
      <w:pPr>
        <w:pStyle w:val="TableParagraph"/>
        <w:ind w:right="163"/>
      </w:pPr>
      <w:r w:rsidRPr="00EB5E31">
        <w:t xml:space="preserve">Debit 310200 Unexpended Appropriations - Transfers-In  </w:t>
      </w:r>
    </w:p>
    <w:p w14:paraId="0EE85D35" w14:textId="77777777" w:rsidR="00EB5E31" w:rsidRDefault="00EB5E31" w:rsidP="00C25A72">
      <w:pPr>
        <w:pStyle w:val="TableParagraph"/>
        <w:ind w:right="163"/>
      </w:pPr>
      <w:r w:rsidRPr="00EB5E31">
        <w:t xml:space="preserve">Debit 310500 Unexpended Appropriations - Prior-Period Adjustments Due to Corrections of Errors - </w:t>
      </w:r>
      <w:r>
        <w:t xml:space="preserve"> </w:t>
      </w:r>
    </w:p>
    <w:p w14:paraId="11C786B7" w14:textId="5049A9B9" w:rsidR="00EB5E31" w:rsidRPr="00EB5E31" w:rsidRDefault="00EB5E31" w:rsidP="00C25A72">
      <w:pPr>
        <w:pStyle w:val="TableParagraph"/>
        <w:ind w:right="163"/>
      </w:pPr>
      <w:r>
        <w:t xml:space="preserve">                       </w:t>
      </w:r>
      <w:r w:rsidRPr="00EB5E31">
        <w:t xml:space="preserve">Years Preceding the Prior Year  </w:t>
      </w:r>
    </w:p>
    <w:p w14:paraId="2E421BA8" w14:textId="77777777" w:rsidR="00EB5E31" w:rsidRPr="00EB5E31" w:rsidRDefault="00EB5E31" w:rsidP="00C25A72">
      <w:pPr>
        <w:pStyle w:val="TableParagraph"/>
        <w:ind w:right="163"/>
      </w:pPr>
      <w:r w:rsidRPr="00EB5E31">
        <w:t xml:space="preserve">Debit 310800 Unexpended Appropriations - Prior-Period Adjustments Due to Corrections of Errors  </w:t>
      </w:r>
    </w:p>
    <w:p w14:paraId="01D10F2E" w14:textId="77777777" w:rsidR="00EB5E31" w:rsidRDefault="00EB5E31" w:rsidP="00C25A72">
      <w:pPr>
        <w:pStyle w:val="TableParagraph"/>
        <w:ind w:right="163"/>
      </w:pPr>
      <w:r w:rsidRPr="00EB5E31">
        <w:t xml:space="preserve">Debit 310900 Unexpended Appropriations - Prior-Period Adjustments Due to Changes in Accounting </w:t>
      </w:r>
    </w:p>
    <w:p w14:paraId="48F37490" w14:textId="2DD23D1E" w:rsidR="00623CA3" w:rsidRDefault="00EB5E31" w:rsidP="00C25A72">
      <w:pPr>
        <w:pStyle w:val="TableParagraph"/>
        <w:ind w:right="163"/>
      </w:pPr>
      <w:r>
        <w:t xml:space="preserve">                       </w:t>
      </w:r>
      <w:r w:rsidRPr="00EB5E31">
        <w:t>Principles</w:t>
      </w:r>
    </w:p>
    <w:p w14:paraId="7483DE40" w14:textId="01F2318B" w:rsidR="00A47279" w:rsidRDefault="00EB5E31" w:rsidP="00C25A72">
      <w:pPr>
        <w:pStyle w:val="TableParagraph"/>
        <w:ind w:right="163"/>
      </w:pPr>
      <w:r>
        <w:tab/>
      </w:r>
      <w:r w:rsidR="00A47279" w:rsidRPr="00A47279">
        <w:t>Credit</w:t>
      </w:r>
      <w:r w:rsidR="00A47279">
        <w:t xml:space="preserve"> </w:t>
      </w:r>
      <w:r w:rsidR="00A47279" w:rsidRPr="00A47279">
        <w:t xml:space="preserve">310000 Unexpended Appropriations - Cumulative     </w:t>
      </w:r>
    </w:p>
    <w:p w14:paraId="2580CCCD" w14:textId="77777777" w:rsidR="00A47279" w:rsidRDefault="00A47279" w:rsidP="00A47279">
      <w:pPr>
        <w:pStyle w:val="TableParagraph"/>
        <w:ind w:right="163" w:firstLine="720"/>
      </w:pPr>
      <w:r w:rsidRPr="00A47279">
        <w:t>Credit</w:t>
      </w:r>
      <w:r>
        <w:t xml:space="preserve"> </w:t>
      </w:r>
      <w:r w:rsidRPr="00A47279">
        <w:t xml:space="preserve">310300 Unexpended Appropriations - Transfers-Out     </w:t>
      </w:r>
    </w:p>
    <w:p w14:paraId="3E4E9844" w14:textId="77777777" w:rsidR="00A47279" w:rsidRDefault="00A47279" w:rsidP="00A47279">
      <w:pPr>
        <w:pStyle w:val="TableParagraph"/>
        <w:ind w:right="163" w:firstLine="720"/>
      </w:pPr>
      <w:r w:rsidRPr="00A47279">
        <w:t xml:space="preserve">Credit 310500 Unexpended Appropriations - Prior-Period Adjustments Due to Corrections of </w:t>
      </w:r>
    </w:p>
    <w:p w14:paraId="37206939" w14:textId="77777777" w:rsidR="00A47279" w:rsidRDefault="00A47279" w:rsidP="00A47279">
      <w:pPr>
        <w:pStyle w:val="TableParagraph"/>
        <w:ind w:left="1440" w:right="163" w:firstLine="720"/>
      </w:pPr>
      <w:r w:rsidRPr="00A47279">
        <w:t xml:space="preserve">Errors - Years Preceding the Prior Year     </w:t>
      </w:r>
    </w:p>
    <w:p w14:paraId="32541960" w14:textId="3D35D066" w:rsidR="002B6716" w:rsidRDefault="00A47279" w:rsidP="00A47279">
      <w:pPr>
        <w:pStyle w:val="TableParagraph"/>
        <w:ind w:right="163" w:firstLine="720"/>
      </w:pPr>
      <w:r w:rsidRPr="00A47279">
        <w:t xml:space="preserve">Credit 310600 Unexpended Appropriations </w:t>
      </w:r>
      <w:r w:rsidR="002B6716">
        <w:t>–</w:t>
      </w:r>
      <w:r w:rsidRPr="00A47279">
        <w:t xml:space="preserve"> Adjustments</w:t>
      </w:r>
    </w:p>
    <w:p w14:paraId="6EF0A4F4" w14:textId="77777777" w:rsidR="002E1FCE" w:rsidRDefault="002B6716" w:rsidP="00A47279">
      <w:pPr>
        <w:pStyle w:val="TableParagraph"/>
        <w:ind w:right="163" w:firstLine="720"/>
        <w:rPr>
          <w:color w:val="0070C0"/>
        </w:rPr>
      </w:pPr>
      <w:r w:rsidRPr="002B6716">
        <w:rPr>
          <w:color w:val="0070C0"/>
        </w:rPr>
        <w:t xml:space="preserve">Credit 310610 </w:t>
      </w:r>
      <w:r w:rsidR="002E1FCE" w:rsidRPr="002E1FCE">
        <w:rPr>
          <w:color w:val="0070C0"/>
        </w:rPr>
        <w:t xml:space="preserve">Unexpended Appropriations – Adjustments due to Permanent Reduction/Capital </w:t>
      </w:r>
    </w:p>
    <w:p w14:paraId="0F91DFAD" w14:textId="5A9E8446" w:rsidR="00A47279" w:rsidRPr="002B6716" w:rsidRDefault="002E1FCE" w:rsidP="00A47279">
      <w:pPr>
        <w:pStyle w:val="TableParagraph"/>
        <w:ind w:right="163" w:firstLine="720"/>
        <w:rPr>
          <w:color w:val="0070C0"/>
        </w:rPr>
      </w:pPr>
      <w:r>
        <w:rPr>
          <w:color w:val="0070C0"/>
        </w:rPr>
        <w:t xml:space="preserve">                        </w:t>
      </w:r>
      <w:r w:rsidRPr="002E1FCE">
        <w:rPr>
          <w:color w:val="0070C0"/>
        </w:rPr>
        <w:t>Transfer</w:t>
      </w:r>
    </w:p>
    <w:p w14:paraId="5A167985" w14:textId="77777777" w:rsidR="00A47279" w:rsidRDefault="00A47279" w:rsidP="00A47279">
      <w:pPr>
        <w:pStyle w:val="TableParagraph"/>
        <w:ind w:right="163" w:firstLine="720"/>
      </w:pPr>
      <w:r w:rsidRPr="00A47279">
        <w:t xml:space="preserve">Credit 310700 Unexpended Appropriations - Used - Accrued     </w:t>
      </w:r>
    </w:p>
    <w:p w14:paraId="6AE8515F" w14:textId="77777777" w:rsidR="00A47279" w:rsidRDefault="00A47279" w:rsidP="00A47279">
      <w:pPr>
        <w:pStyle w:val="TableParagraph"/>
        <w:ind w:right="163" w:firstLine="720"/>
      </w:pPr>
      <w:r w:rsidRPr="00A47279">
        <w:t xml:space="preserve">Credit 310710 Unexpended Appropriations - Used - Disbursed     </w:t>
      </w:r>
    </w:p>
    <w:p w14:paraId="4E2DAE25" w14:textId="77777777" w:rsidR="00A47279" w:rsidRDefault="00A47279" w:rsidP="00A47279">
      <w:pPr>
        <w:pStyle w:val="TableParagraph"/>
        <w:ind w:right="163" w:firstLine="720"/>
      </w:pPr>
      <w:r w:rsidRPr="00A47279">
        <w:t xml:space="preserve">Credit 310800 Unexpended Appropriations - Prior-Period Adjustments Due to Corrections of </w:t>
      </w:r>
    </w:p>
    <w:p w14:paraId="6318E45D" w14:textId="77777777" w:rsidR="00A47279" w:rsidRDefault="00A47279" w:rsidP="00A47279">
      <w:pPr>
        <w:pStyle w:val="TableParagraph"/>
        <w:ind w:left="1440" w:right="163"/>
      </w:pPr>
      <w:r>
        <w:t xml:space="preserve">           </w:t>
      </w:r>
      <w:r w:rsidRPr="00A47279">
        <w:t xml:space="preserve">Errors     </w:t>
      </w:r>
    </w:p>
    <w:p w14:paraId="194266CC" w14:textId="77777777" w:rsidR="00A47279" w:rsidRDefault="00A47279" w:rsidP="00A47279">
      <w:pPr>
        <w:pStyle w:val="TableParagraph"/>
        <w:ind w:right="163" w:firstLine="720"/>
      </w:pPr>
      <w:r w:rsidRPr="00A47279">
        <w:t xml:space="preserve">Credit 310900 Unexpended Appropriations - Prior-Period Adjustments Due to Changes in </w:t>
      </w:r>
    </w:p>
    <w:p w14:paraId="36D20AA5" w14:textId="0B2BA3F2" w:rsidR="00EB5E31" w:rsidRPr="00EB5E31" w:rsidRDefault="00A47279" w:rsidP="00A47279">
      <w:pPr>
        <w:pStyle w:val="TableParagraph"/>
        <w:ind w:left="1440" w:right="163"/>
      </w:pPr>
      <w:r>
        <w:t xml:space="preserve">           </w:t>
      </w:r>
      <w:r w:rsidRPr="00A47279">
        <w:t>Accounting Principles</w:t>
      </w:r>
    </w:p>
    <w:sectPr w:rsidR="00EB5E31" w:rsidRPr="00EB5E3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90DF" w14:textId="77777777" w:rsidR="00847882" w:rsidRDefault="00847882" w:rsidP="00847882">
      <w:pPr>
        <w:spacing w:before="0" w:after="0" w:line="240" w:lineRule="auto"/>
      </w:pPr>
      <w:r>
        <w:separator/>
      </w:r>
    </w:p>
  </w:endnote>
  <w:endnote w:type="continuationSeparator" w:id="0">
    <w:p w14:paraId="3D25EB4E" w14:textId="77777777" w:rsidR="00847882" w:rsidRDefault="00847882" w:rsidP="008478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60FDEA37" w14:textId="77777777" w:rsidR="00847882" w:rsidRDefault="00847882" w:rsidP="00847882">
        <w:pPr>
          <w:pStyle w:val="Footer"/>
          <w:jc w:val="right"/>
        </w:pPr>
      </w:p>
      <w:p w14:paraId="4BA7C992" w14:textId="32759B28" w:rsidR="00847882" w:rsidRDefault="00847882" w:rsidP="00847882">
        <w:pPr>
          <w:pStyle w:val="Footer"/>
          <w:jc w:val="right"/>
        </w:pPr>
        <w:r>
          <w:t xml:space="preserve">  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11</w:t>
        </w:r>
        <w:r>
          <w:rPr>
            <w:b/>
            <w:bCs/>
            <w:sz w:val="24"/>
            <w:szCs w:val="24"/>
          </w:rPr>
          <w:fldChar w:fldCharType="end"/>
        </w:r>
        <w:r>
          <w:t xml:space="preserve">                                       </w:t>
        </w:r>
        <w:r w:rsidRPr="00745D48">
          <w:rPr>
            <w:b/>
            <w:bCs/>
          </w:rPr>
          <w:t xml:space="preserve">IRC Handout </w:t>
        </w:r>
        <w:r>
          <w:rPr>
            <w:b/>
            <w:bCs/>
          </w:rPr>
          <w:t>4</w:t>
        </w:r>
        <w:r w:rsidRPr="00745D48">
          <w:rPr>
            <w:b/>
            <w:bCs/>
          </w:rPr>
          <w:t>/</w:t>
        </w:r>
        <w:r>
          <w:rPr>
            <w:b/>
            <w:bCs/>
          </w:rPr>
          <w:t>22</w:t>
        </w:r>
        <w:r w:rsidRPr="00745D48">
          <w:rPr>
            <w:b/>
            <w:bCs/>
          </w:rPr>
          <w:t>/202</w:t>
        </w:r>
        <w:r>
          <w:rPr>
            <w:b/>
            <w:bCs/>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9D02" w14:textId="77777777" w:rsidR="00847882" w:rsidRDefault="00847882" w:rsidP="00847882">
      <w:pPr>
        <w:spacing w:before="0" w:after="0" w:line="240" w:lineRule="auto"/>
      </w:pPr>
      <w:r>
        <w:separator/>
      </w:r>
    </w:p>
  </w:footnote>
  <w:footnote w:type="continuationSeparator" w:id="0">
    <w:p w14:paraId="5497958D" w14:textId="77777777" w:rsidR="00847882" w:rsidRDefault="00847882" w:rsidP="0084788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9A"/>
    <w:rsid w:val="00000297"/>
    <w:rsid w:val="00004481"/>
    <w:rsid w:val="00017947"/>
    <w:rsid w:val="000310D8"/>
    <w:rsid w:val="000476FB"/>
    <w:rsid w:val="000551E2"/>
    <w:rsid w:val="00083104"/>
    <w:rsid w:val="00085960"/>
    <w:rsid w:val="000B68EC"/>
    <w:rsid w:val="000B6AF2"/>
    <w:rsid w:val="000C46EA"/>
    <w:rsid w:val="000E27C8"/>
    <w:rsid w:val="001022CE"/>
    <w:rsid w:val="00105299"/>
    <w:rsid w:val="001114BE"/>
    <w:rsid w:val="00112CA5"/>
    <w:rsid w:val="00123544"/>
    <w:rsid w:val="00127523"/>
    <w:rsid w:val="00136244"/>
    <w:rsid w:val="00160146"/>
    <w:rsid w:val="0016195A"/>
    <w:rsid w:val="001707D5"/>
    <w:rsid w:val="00171ADD"/>
    <w:rsid w:val="00182B43"/>
    <w:rsid w:val="001A1077"/>
    <w:rsid w:val="001B531F"/>
    <w:rsid w:val="001D11D0"/>
    <w:rsid w:val="001D3895"/>
    <w:rsid w:val="001E2539"/>
    <w:rsid w:val="001E314E"/>
    <w:rsid w:val="001F068A"/>
    <w:rsid w:val="0022496A"/>
    <w:rsid w:val="00230FA6"/>
    <w:rsid w:val="0025695A"/>
    <w:rsid w:val="00257D2F"/>
    <w:rsid w:val="00280F3C"/>
    <w:rsid w:val="002A4DA0"/>
    <w:rsid w:val="002B6716"/>
    <w:rsid w:val="002D1570"/>
    <w:rsid w:val="002E1FCE"/>
    <w:rsid w:val="003007C0"/>
    <w:rsid w:val="00311CD5"/>
    <w:rsid w:val="003125DD"/>
    <w:rsid w:val="0033392B"/>
    <w:rsid w:val="003467C8"/>
    <w:rsid w:val="0036024E"/>
    <w:rsid w:val="003A6BAC"/>
    <w:rsid w:val="003B6FBD"/>
    <w:rsid w:val="003C3ED5"/>
    <w:rsid w:val="003C69B1"/>
    <w:rsid w:val="003D5B8C"/>
    <w:rsid w:val="003D6332"/>
    <w:rsid w:val="003E0CA5"/>
    <w:rsid w:val="003E683D"/>
    <w:rsid w:val="003F0529"/>
    <w:rsid w:val="0040544B"/>
    <w:rsid w:val="0041006E"/>
    <w:rsid w:val="004261D9"/>
    <w:rsid w:val="00437C41"/>
    <w:rsid w:val="004500C6"/>
    <w:rsid w:val="004565BD"/>
    <w:rsid w:val="00460350"/>
    <w:rsid w:val="00461532"/>
    <w:rsid w:val="004855E7"/>
    <w:rsid w:val="00491A54"/>
    <w:rsid w:val="00495D22"/>
    <w:rsid w:val="004A0D6F"/>
    <w:rsid w:val="004A509B"/>
    <w:rsid w:val="004C244B"/>
    <w:rsid w:val="004C7F78"/>
    <w:rsid w:val="004E2F1B"/>
    <w:rsid w:val="004F48BE"/>
    <w:rsid w:val="004F70FF"/>
    <w:rsid w:val="0050103E"/>
    <w:rsid w:val="00556C86"/>
    <w:rsid w:val="00593590"/>
    <w:rsid w:val="005B039A"/>
    <w:rsid w:val="005B0E2A"/>
    <w:rsid w:val="005B2286"/>
    <w:rsid w:val="005B2B52"/>
    <w:rsid w:val="005B6329"/>
    <w:rsid w:val="005C4A3B"/>
    <w:rsid w:val="005D76DA"/>
    <w:rsid w:val="005E2EF0"/>
    <w:rsid w:val="005E7859"/>
    <w:rsid w:val="005F771E"/>
    <w:rsid w:val="00602DD0"/>
    <w:rsid w:val="00615E21"/>
    <w:rsid w:val="00623CA3"/>
    <w:rsid w:val="00644DBE"/>
    <w:rsid w:val="00645CD1"/>
    <w:rsid w:val="00652F58"/>
    <w:rsid w:val="006560CC"/>
    <w:rsid w:val="00674024"/>
    <w:rsid w:val="00683577"/>
    <w:rsid w:val="00696046"/>
    <w:rsid w:val="006A6119"/>
    <w:rsid w:val="006A7D17"/>
    <w:rsid w:val="006B7F0E"/>
    <w:rsid w:val="006C029B"/>
    <w:rsid w:val="006C5993"/>
    <w:rsid w:val="006E3856"/>
    <w:rsid w:val="006E45F1"/>
    <w:rsid w:val="00707833"/>
    <w:rsid w:val="00717E74"/>
    <w:rsid w:val="007212E3"/>
    <w:rsid w:val="0072385A"/>
    <w:rsid w:val="00724C56"/>
    <w:rsid w:val="0072717A"/>
    <w:rsid w:val="00727190"/>
    <w:rsid w:val="0073397B"/>
    <w:rsid w:val="00734A60"/>
    <w:rsid w:val="00737896"/>
    <w:rsid w:val="007464EB"/>
    <w:rsid w:val="0074674E"/>
    <w:rsid w:val="00771BBF"/>
    <w:rsid w:val="00784592"/>
    <w:rsid w:val="00790128"/>
    <w:rsid w:val="007B3185"/>
    <w:rsid w:val="007B546A"/>
    <w:rsid w:val="007C2B18"/>
    <w:rsid w:val="007C7C3D"/>
    <w:rsid w:val="007D4A7C"/>
    <w:rsid w:val="007E0E87"/>
    <w:rsid w:val="008014B8"/>
    <w:rsid w:val="008212F4"/>
    <w:rsid w:val="00836BD3"/>
    <w:rsid w:val="00847882"/>
    <w:rsid w:val="00854107"/>
    <w:rsid w:val="008733FF"/>
    <w:rsid w:val="008A11E4"/>
    <w:rsid w:val="008A28B4"/>
    <w:rsid w:val="008B1D50"/>
    <w:rsid w:val="008C5348"/>
    <w:rsid w:val="008D79DA"/>
    <w:rsid w:val="008E0D81"/>
    <w:rsid w:val="00903C09"/>
    <w:rsid w:val="00905803"/>
    <w:rsid w:val="00914533"/>
    <w:rsid w:val="009859AD"/>
    <w:rsid w:val="009B682C"/>
    <w:rsid w:val="009C1836"/>
    <w:rsid w:val="009C4A11"/>
    <w:rsid w:val="009D1387"/>
    <w:rsid w:val="009E2FC3"/>
    <w:rsid w:val="009F730A"/>
    <w:rsid w:val="00A013CE"/>
    <w:rsid w:val="00A058E6"/>
    <w:rsid w:val="00A25A3A"/>
    <w:rsid w:val="00A43105"/>
    <w:rsid w:val="00A47279"/>
    <w:rsid w:val="00A50470"/>
    <w:rsid w:val="00A52941"/>
    <w:rsid w:val="00A54DB0"/>
    <w:rsid w:val="00A71548"/>
    <w:rsid w:val="00A77A0D"/>
    <w:rsid w:val="00A80D18"/>
    <w:rsid w:val="00A80EFB"/>
    <w:rsid w:val="00A844FB"/>
    <w:rsid w:val="00AC729A"/>
    <w:rsid w:val="00AD570C"/>
    <w:rsid w:val="00AF4D2A"/>
    <w:rsid w:val="00B165A9"/>
    <w:rsid w:val="00B450E5"/>
    <w:rsid w:val="00B47770"/>
    <w:rsid w:val="00B537FC"/>
    <w:rsid w:val="00B7086F"/>
    <w:rsid w:val="00B73FF8"/>
    <w:rsid w:val="00B75156"/>
    <w:rsid w:val="00BA1047"/>
    <w:rsid w:val="00BB090D"/>
    <w:rsid w:val="00BB777D"/>
    <w:rsid w:val="00BC35D9"/>
    <w:rsid w:val="00BC5DD5"/>
    <w:rsid w:val="00BF394F"/>
    <w:rsid w:val="00C14A0E"/>
    <w:rsid w:val="00C25A72"/>
    <w:rsid w:val="00C36686"/>
    <w:rsid w:val="00C44524"/>
    <w:rsid w:val="00C45168"/>
    <w:rsid w:val="00C52530"/>
    <w:rsid w:val="00C708DA"/>
    <w:rsid w:val="00C73556"/>
    <w:rsid w:val="00CA64FC"/>
    <w:rsid w:val="00CD0508"/>
    <w:rsid w:val="00CD4DEB"/>
    <w:rsid w:val="00CF29E2"/>
    <w:rsid w:val="00D05606"/>
    <w:rsid w:val="00D10D74"/>
    <w:rsid w:val="00D133DA"/>
    <w:rsid w:val="00D168AC"/>
    <w:rsid w:val="00D2151F"/>
    <w:rsid w:val="00D2327B"/>
    <w:rsid w:val="00D411E1"/>
    <w:rsid w:val="00D6173C"/>
    <w:rsid w:val="00D62A8A"/>
    <w:rsid w:val="00D62AAF"/>
    <w:rsid w:val="00D62D61"/>
    <w:rsid w:val="00D723BD"/>
    <w:rsid w:val="00D82840"/>
    <w:rsid w:val="00D87512"/>
    <w:rsid w:val="00D91497"/>
    <w:rsid w:val="00DA37E6"/>
    <w:rsid w:val="00DB228A"/>
    <w:rsid w:val="00DB24E2"/>
    <w:rsid w:val="00DD6D39"/>
    <w:rsid w:val="00DE1002"/>
    <w:rsid w:val="00E5666E"/>
    <w:rsid w:val="00E81064"/>
    <w:rsid w:val="00EB0864"/>
    <w:rsid w:val="00EB5E31"/>
    <w:rsid w:val="00EC279E"/>
    <w:rsid w:val="00EC4E84"/>
    <w:rsid w:val="00EE6FEB"/>
    <w:rsid w:val="00EF0D80"/>
    <w:rsid w:val="00F52719"/>
    <w:rsid w:val="00F72CAA"/>
    <w:rsid w:val="00F77E03"/>
    <w:rsid w:val="00F95D4C"/>
    <w:rsid w:val="00FB1CB8"/>
    <w:rsid w:val="00FC40EC"/>
    <w:rsid w:val="00FF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5660"/>
  <w15:chartTrackingRefBased/>
  <w15:docId w15:val="{6CE3A4C4-C811-4AD6-95D0-7355D136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39A"/>
    <w:pPr>
      <w:spacing w:before="160" w:after="40" w:line="288" w:lineRule="auto"/>
    </w:pPr>
    <w:rPr>
      <w:rFonts w:ascii="Times New Roman" w:hAnsi="Times New Roman"/>
      <w:color w:val="000000" w:themeColor="text1"/>
      <w:kern w:val="20"/>
      <w:sz w:val="22"/>
      <w:szCs w:val="20"/>
      <w:lang w:eastAsia="ja-JP"/>
      <w14:ligatures w14:val="none"/>
    </w:rPr>
  </w:style>
  <w:style w:type="paragraph" w:styleId="Heading1">
    <w:name w:val="heading 1"/>
    <w:basedOn w:val="Normal"/>
    <w:next w:val="Normal"/>
    <w:link w:val="Heading1Char"/>
    <w:uiPriority w:val="9"/>
    <w:qFormat/>
    <w:rsid w:val="005B03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B039A"/>
    <w:pPr>
      <w:keepNext/>
      <w:keepLines/>
      <w:spacing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B039A"/>
    <w:pPr>
      <w:keepNext/>
      <w:keepLines/>
      <w:spacing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B039A"/>
    <w:pPr>
      <w:keepNext/>
      <w:keepLines/>
      <w:spacing w:before="8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5B039A"/>
    <w:pPr>
      <w:keepNext/>
      <w:keepLines/>
      <w:spacing w:before="8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B039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B039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B039A"/>
    <w:pPr>
      <w:keepNext/>
      <w:keepLines/>
      <w:spacing w:before="0"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B039A"/>
    <w:pPr>
      <w:keepNext/>
      <w:keepLines/>
      <w:spacing w:before="0"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39A"/>
    <w:rPr>
      <w:rFonts w:eastAsiaTheme="majorEastAsia" w:cstheme="majorBidi"/>
      <w:color w:val="272727" w:themeColor="text1" w:themeTint="D8"/>
    </w:rPr>
  </w:style>
  <w:style w:type="paragraph" w:styleId="Title">
    <w:name w:val="Title"/>
    <w:basedOn w:val="Normal"/>
    <w:next w:val="Normal"/>
    <w:link w:val="TitleChar"/>
    <w:uiPriority w:val="10"/>
    <w:qFormat/>
    <w:rsid w:val="005B039A"/>
    <w:pPr>
      <w:spacing w:before="0"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B0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39A"/>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B0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39A"/>
    <w:pPr>
      <w:spacing w:after="160" w:line="278" w:lineRule="auto"/>
      <w:jc w:val="center"/>
    </w:pPr>
    <w:rPr>
      <w:rFonts w:asciiTheme="minorHAnsi" w:hAnsi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5B039A"/>
    <w:rPr>
      <w:i/>
      <w:iCs/>
      <w:color w:val="404040" w:themeColor="text1" w:themeTint="BF"/>
    </w:rPr>
  </w:style>
  <w:style w:type="paragraph" w:styleId="ListParagraph">
    <w:name w:val="List Paragraph"/>
    <w:basedOn w:val="Normal"/>
    <w:uiPriority w:val="34"/>
    <w:qFormat/>
    <w:rsid w:val="005B039A"/>
    <w:pPr>
      <w:spacing w:before="0" w:after="160" w:line="278" w:lineRule="auto"/>
      <w:ind w:left="720"/>
      <w:contextualSpacing/>
    </w:pPr>
    <w:rPr>
      <w:rFonts w:asciiTheme="minorHAnsi" w:hAnsiTheme="minorHAnsi"/>
      <w:color w:val="auto"/>
      <w:kern w:val="2"/>
      <w:sz w:val="24"/>
      <w:szCs w:val="24"/>
      <w:lang w:eastAsia="en-US"/>
      <w14:ligatures w14:val="standardContextual"/>
    </w:rPr>
  </w:style>
  <w:style w:type="character" w:styleId="IntenseEmphasis">
    <w:name w:val="Intense Emphasis"/>
    <w:basedOn w:val="DefaultParagraphFont"/>
    <w:uiPriority w:val="21"/>
    <w:qFormat/>
    <w:rsid w:val="005B039A"/>
    <w:rPr>
      <w:i/>
      <w:iCs/>
      <w:color w:val="0F4761" w:themeColor="accent1" w:themeShade="BF"/>
    </w:rPr>
  </w:style>
  <w:style w:type="paragraph" w:styleId="IntenseQuote">
    <w:name w:val="Intense Quote"/>
    <w:basedOn w:val="Normal"/>
    <w:next w:val="Normal"/>
    <w:link w:val="IntenseQuoteChar"/>
    <w:uiPriority w:val="30"/>
    <w:qFormat/>
    <w:rsid w:val="005B03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5B039A"/>
    <w:rPr>
      <w:i/>
      <w:iCs/>
      <w:color w:val="0F4761" w:themeColor="accent1" w:themeShade="BF"/>
    </w:rPr>
  </w:style>
  <w:style w:type="character" w:styleId="IntenseReference">
    <w:name w:val="Intense Reference"/>
    <w:basedOn w:val="DefaultParagraphFont"/>
    <w:uiPriority w:val="32"/>
    <w:qFormat/>
    <w:rsid w:val="005B039A"/>
    <w:rPr>
      <w:b/>
      <w:bCs/>
      <w:smallCaps/>
      <w:color w:val="0F4761" w:themeColor="accent1" w:themeShade="BF"/>
      <w:spacing w:val="5"/>
    </w:rPr>
  </w:style>
  <w:style w:type="paragraph" w:customStyle="1" w:styleId="TableParagraph">
    <w:name w:val="Table Paragraph"/>
    <w:basedOn w:val="Normal"/>
    <w:uiPriority w:val="1"/>
    <w:qFormat/>
    <w:rsid w:val="005B039A"/>
    <w:pPr>
      <w:widowControl w:val="0"/>
      <w:autoSpaceDE w:val="0"/>
      <w:autoSpaceDN w:val="0"/>
      <w:spacing w:before="0" w:after="0" w:line="240" w:lineRule="auto"/>
    </w:pPr>
    <w:rPr>
      <w:rFonts w:eastAsia="Times New Roman" w:cs="Times New Roman"/>
      <w:color w:val="auto"/>
      <w:kern w:val="0"/>
      <w:szCs w:val="22"/>
      <w:lang w:eastAsia="en-US" w:bidi="en-US"/>
    </w:rPr>
  </w:style>
  <w:style w:type="character" w:styleId="CommentReference">
    <w:name w:val="annotation reference"/>
    <w:basedOn w:val="DefaultParagraphFont"/>
    <w:uiPriority w:val="99"/>
    <w:semiHidden/>
    <w:unhideWhenUsed/>
    <w:rsid w:val="001E2539"/>
    <w:rPr>
      <w:sz w:val="16"/>
      <w:szCs w:val="16"/>
    </w:rPr>
  </w:style>
  <w:style w:type="paragraph" w:styleId="CommentText">
    <w:name w:val="annotation text"/>
    <w:basedOn w:val="Normal"/>
    <w:link w:val="CommentTextChar"/>
    <w:uiPriority w:val="99"/>
    <w:unhideWhenUsed/>
    <w:rsid w:val="001E2539"/>
    <w:pPr>
      <w:spacing w:line="240" w:lineRule="auto"/>
    </w:pPr>
    <w:rPr>
      <w:sz w:val="20"/>
    </w:rPr>
  </w:style>
  <w:style w:type="character" w:customStyle="1" w:styleId="CommentTextChar">
    <w:name w:val="Comment Text Char"/>
    <w:basedOn w:val="DefaultParagraphFont"/>
    <w:link w:val="CommentText"/>
    <w:uiPriority w:val="99"/>
    <w:rsid w:val="001E2539"/>
    <w:rPr>
      <w:rFonts w:ascii="Times New Roman" w:hAnsi="Times New Roman"/>
      <w:color w:val="000000" w:themeColor="text1"/>
      <w:kern w:val="2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1E2539"/>
    <w:rPr>
      <w:b/>
      <w:bCs/>
    </w:rPr>
  </w:style>
  <w:style w:type="character" w:customStyle="1" w:styleId="CommentSubjectChar">
    <w:name w:val="Comment Subject Char"/>
    <w:basedOn w:val="CommentTextChar"/>
    <w:link w:val="CommentSubject"/>
    <w:uiPriority w:val="99"/>
    <w:semiHidden/>
    <w:rsid w:val="001E2539"/>
    <w:rPr>
      <w:rFonts w:ascii="Times New Roman" w:hAnsi="Times New Roman"/>
      <w:b/>
      <w:bCs/>
      <w:color w:val="000000" w:themeColor="text1"/>
      <w:kern w:val="20"/>
      <w:sz w:val="20"/>
      <w:szCs w:val="20"/>
      <w:lang w:eastAsia="ja-JP"/>
      <w14:ligatures w14:val="none"/>
    </w:rPr>
  </w:style>
  <w:style w:type="paragraph" w:styleId="Header">
    <w:name w:val="header"/>
    <w:basedOn w:val="Normal"/>
    <w:link w:val="HeaderChar"/>
    <w:uiPriority w:val="99"/>
    <w:unhideWhenUsed/>
    <w:rsid w:val="0084788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47882"/>
    <w:rPr>
      <w:rFonts w:ascii="Times New Roman" w:hAnsi="Times New Roman"/>
      <w:color w:val="000000" w:themeColor="text1"/>
      <w:kern w:val="20"/>
      <w:sz w:val="22"/>
      <w:szCs w:val="20"/>
      <w:lang w:eastAsia="ja-JP"/>
      <w14:ligatures w14:val="none"/>
    </w:rPr>
  </w:style>
  <w:style w:type="paragraph" w:styleId="Footer">
    <w:name w:val="footer"/>
    <w:basedOn w:val="Normal"/>
    <w:link w:val="FooterChar"/>
    <w:uiPriority w:val="99"/>
    <w:unhideWhenUsed/>
    <w:rsid w:val="0084788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47882"/>
    <w:rPr>
      <w:rFonts w:ascii="Times New Roman" w:hAnsi="Times New Roman"/>
      <w:color w:val="000000" w:themeColor="text1"/>
      <w:kern w:val="20"/>
      <w:sz w:val="22"/>
      <w:szCs w:val="20"/>
      <w:lang w:eastAsia="ja-JP"/>
      <w14:ligatures w14:val="none"/>
    </w:rPr>
  </w:style>
  <w:style w:type="paragraph" w:styleId="PlainText">
    <w:name w:val="Plain Text"/>
    <w:basedOn w:val="Normal"/>
    <w:link w:val="PlainTextChar"/>
    <w:uiPriority w:val="99"/>
    <w:unhideWhenUsed/>
    <w:rsid w:val="005C4A3B"/>
    <w:pPr>
      <w:spacing w:before="0" w:after="0" w:line="240" w:lineRule="auto"/>
    </w:pPr>
    <w:rPr>
      <w:rFonts w:ascii="Consolas" w:hAnsi="Consolas"/>
      <w:color w:val="auto"/>
      <w:kern w:val="0"/>
      <w:sz w:val="21"/>
      <w:szCs w:val="21"/>
      <w:lang w:eastAsia="en-US"/>
    </w:rPr>
  </w:style>
  <w:style w:type="character" w:customStyle="1" w:styleId="PlainTextChar">
    <w:name w:val="Plain Text Char"/>
    <w:basedOn w:val="DefaultParagraphFont"/>
    <w:link w:val="PlainText"/>
    <w:uiPriority w:val="99"/>
    <w:rsid w:val="005C4A3B"/>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6</Pages>
  <Words>2052</Words>
  <Characters>11658</Characters>
  <Application>Microsoft Office Word</Application>
  <DocSecurity>0</DocSecurity>
  <Lines>306</Lines>
  <Paragraphs>159</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 Casto</dc:creator>
  <cp:keywords/>
  <dc:description/>
  <cp:lastModifiedBy>Brian D. Casto</cp:lastModifiedBy>
  <cp:revision>30</cp:revision>
  <cp:lastPrinted>2026-04-16T12:35:00Z</cp:lastPrinted>
  <dcterms:created xsi:type="dcterms:W3CDTF">2026-03-17T19:37:00Z</dcterms:created>
  <dcterms:modified xsi:type="dcterms:W3CDTF">2026-04-16T12:36:00Z</dcterms:modified>
</cp:coreProperties>
</file>