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75420" w14:textId="08499E65" w:rsidR="00C403A8" w:rsidRPr="00C70A55" w:rsidRDefault="00C403A8" w:rsidP="00C403A8">
      <w:pPr>
        <w:jc w:val="center"/>
        <w:rPr>
          <w:rFonts w:cstheme="minorHAnsi"/>
          <w:b/>
          <w:bCs/>
          <w:sz w:val="28"/>
          <w:szCs w:val="28"/>
          <w:u w:val="single"/>
        </w:rPr>
      </w:pPr>
      <w:r w:rsidRPr="00C70A55">
        <w:rPr>
          <w:rFonts w:cstheme="minorHAnsi"/>
          <w:b/>
          <w:bCs/>
          <w:sz w:val="28"/>
          <w:szCs w:val="28"/>
          <w:u w:val="single"/>
        </w:rPr>
        <w:t xml:space="preserve">Proprietary </w:t>
      </w:r>
      <w:r>
        <w:rPr>
          <w:rFonts w:cstheme="minorHAnsi"/>
          <w:b/>
          <w:bCs/>
          <w:sz w:val="28"/>
          <w:szCs w:val="28"/>
          <w:u w:val="single"/>
        </w:rPr>
        <w:t>USSGL</w:t>
      </w:r>
      <w:r w:rsidRPr="00C70A55">
        <w:rPr>
          <w:rFonts w:cstheme="minorHAnsi"/>
          <w:b/>
          <w:bCs/>
          <w:sz w:val="28"/>
          <w:szCs w:val="28"/>
          <w:u w:val="single"/>
        </w:rPr>
        <w:t xml:space="preserve"> </w:t>
      </w:r>
      <w:r>
        <w:rPr>
          <w:rFonts w:cstheme="minorHAnsi"/>
          <w:b/>
          <w:bCs/>
          <w:sz w:val="28"/>
          <w:szCs w:val="28"/>
          <w:u w:val="single"/>
        </w:rPr>
        <w:t>Account Additions</w:t>
      </w:r>
      <w:r w:rsidRPr="00C70A55">
        <w:rPr>
          <w:rFonts w:cstheme="minorHAnsi"/>
          <w:b/>
          <w:bCs/>
          <w:sz w:val="28"/>
          <w:szCs w:val="28"/>
          <w:u w:val="single"/>
        </w:rPr>
        <w:t xml:space="preserve"> (</w:t>
      </w:r>
      <w:r>
        <w:rPr>
          <w:rFonts w:cstheme="minorHAnsi"/>
          <w:b/>
          <w:bCs/>
          <w:sz w:val="28"/>
          <w:szCs w:val="28"/>
          <w:u w:val="single"/>
        </w:rPr>
        <w:t xml:space="preserve">Effective </w:t>
      </w:r>
      <w:r w:rsidRPr="00C70A55">
        <w:rPr>
          <w:rFonts w:cstheme="minorHAnsi"/>
          <w:b/>
          <w:bCs/>
          <w:sz w:val="28"/>
          <w:szCs w:val="28"/>
          <w:u w:val="single"/>
        </w:rPr>
        <w:t>FY 202</w:t>
      </w:r>
      <w:r w:rsidR="00776622">
        <w:rPr>
          <w:rFonts w:cstheme="minorHAnsi"/>
          <w:b/>
          <w:bCs/>
          <w:sz w:val="28"/>
          <w:szCs w:val="28"/>
          <w:u w:val="single"/>
        </w:rPr>
        <w:t>6</w:t>
      </w:r>
      <w:r w:rsidRPr="00C70A55">
        <w:rPr>
          <w:rFonts w:cstheme="minorHAnsi"/>
          <w:b/>
          <w:bCs/>
          <w:sz w:val="28"/>
          <w:szCs w:val="28"/>
          <w:u w:val="single"/>
        </w:rPr>
        <w:t>)</w:t>
      </w:r>
    </w:p>
    <w:p w14:paraId="579327BD" w14:textId="77777777" w:rsidR="00C403A8" w:rsidRDefault="00C403A8" w:rsidP="00C403A8">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p>
    <w:p w14:paraId="605A7E23" w14:textId="77777777"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
          <w:color w:val="0070C0"/>
          <w:sz w:val="22"/>
          <w:szCs w:val="22"/>
        </w:rPr>
      </w:pPr>
      <w:r w:rsidRPr="007636AF">
        <w:rPr>
          <w:rFonts w:asciiTheme="minorHAnsi" w:hAnsiTheme="minorHAnsi" w:cstheme="minorHAnsi"/>
          <w:b/>
          <w:color w:val="0070C0"/>
          <w:sz w:val="22"/>
          <w:szCs w:val="22"/>
        </w:rPr>
        <w:t xml:space="preserve">Account Title: </w:t>
      </w:r>
      <w:r w:rsidRPr="007636AF">
        <w:rPr>
          <w:rFonts w:asciiTheme="minorHAnsi" w:hAnsiTheme="minorHAnsi" w:cstheme="minorHAnsi"/>
          <w:bCs/>
          <w:color w:val="0070C0"/>
          <w:sz w:val="22"/>
          <w:szCs w:val="22"/>
        </w:rPr>
        <w:t>Future Exchange Credit Receivable</w:t>
      </w:r>
      <w:r w:rsidRPr="007636AF">
        <w:rPr>
          <w:rFonts w:asciiTheme="minorHAnsi" w:hAnsiTheme="minorHAnsi" w:cstheme="minorHAnsi"/>
          <w:b/>
          <w:color w:val="0070C0"/>
          <w:sz w:val="22"/>
          <w:szCs w:val="22"/>
        </w:rPr>
        <w:t xml:space="preserve"> </w:t>
      </w:r>
    </w:p>
    <w:p w14:paraId="0AA5F423" w14:textId="77777777"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7636AF">
        <w:rPr>
          <w:rFonts w:asciiTheme="minorHAnsi" w:hAnsiTheme="minorHAnsi" w:cstheme="minorHAnsi"/>
          <w:b/>
          <w:color w:val="0070C0"/>
          <w:sz w:val="22"/>
          <w:szCs w:val="22"/>
        </w:rPr>
        <w:t xml:space="preserve">Account Number: </w:t>
      </w:r>
      <w:r w:rsidRPr="007636AF">
        <w:rPr>
          <w:rFonts w:asciiTheme="minorHAnsi" w:hAnsiTheme="minorHAnsi" w:cstheme="minorHAnsi"/>
          <w:bCs/>
          <w:color w:val="0070C0"/>
          <w:sz w:val="22"/>
          <w:szCs w:val="22"/>
        </w:rPr>
        <w:t>133900</w:t>
      </w:r>
    </w:p>
    <w:p w14:paraId="1B939A04" w14:textId="77777777"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7636AF">
        <w:rPr>
          <w:rFonts w:asciiTheme="minorHAnsi" w:hAnsiTheme="minorHAnsi" w:cstheme="minorHAnsi"/>
          <w:b/>
          <w:color w:val="0070C0"/>
          <w:sz w:val="22"/>
          <w:szCs w:val="22"/>
        </w:rPr>
        <w:t xml:space="preserve">Normal Balance: </w:t>
      </w:r>
      <w:r w:rsidRPr="007636AF">
        <w:rPr>
          <w:rFonts w:asciiTheme="minorHAnsi" w:hAnsiTheme="minorHAnsi" w:cstheme="minorHAnsi"/>
          <w:bCs/>
          <w:color w:val="0070C0"/>
          <w:sz w:val="22"/>
          <w:szCs w:val="22"/>
        </w:rPr>
        <w:t xml:space="preserve">Debit </w:t>
      </w:r>
    </w:p>
    <w:p w14:paraId="088840E1" w14:textId="6BB3B126"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7636AF">
        <w:rPr>
          <w:rFonts w:asciiTheme="minorHAnsi" w:hAnsiTheme="minorHAnsi" w:cstheme="minorHAnsi"/>
          <w:b/>
          <w:color w:val="0070C0"/>
          <w:sz w:val="22"/>
          <w:szCs w:val="22"/>
        </w:rPr>
        <w:t xml:space="preserve">Definition: </w:t>
      </w:r>
      <w:r w:rsidR="00451EC7" w:rsidRPr="00451EC7">
        <w:rPr>
          <w:rFonts w:asciiTheme="minorHAnsi" w:hAnsiTheme="minorHAnsi" w:cstheme="minorHAnsi"/>
          <w:bCs/>
          <w:color w:val="0070C0"/>
          <w:sz w:val="22"/>
          <w:szCs w:val="22"/>
        </w:rPr>
        <w:t xml:space="preserve">This account is used to record the exchange value of a future credit for the turn-in of an inventory carcass unit due </w:t>
      </w:r>
      <w:proofErr w:type="gramStart"/>
      <w:r w:rsidR="00451EC7" w:rsidRPr="00451EC7">
        <w:rPr>
          <w:rFonts w:asciiTheme="minorHAnsi" w:hAnsiTheme="minorHAnsi" w:cstheme="minorHAnsi"/>
          <w:bCs/>
          <w:color w:val="0070C0"/>
          <w:sz w:val="22"/>
          <w:szCs w:val="22"/>
        </w:rPr>
        <w:t>from</w:t>
      </w:r>
      <w:proofErr w:type="gramEnd"/>
      <w:r w:rsidR="00451EC7" w:rsidRPr="00451EC7">
        <w:rPr>
          <w:rFonts w:asciiTheme="minorHAnsi" w:hAnsiTheme="minorHAnsi" w:cstheme="minorHAnsi"/>
          <w:bCs/>
          <w:color w:val="0070C0"/>
          <w:sz w:val="22"/>
          <w:szCs w:val="22"/>
        </w:rPr>
        <w:t xml:space="preserve"> another federal trading partner. The Buyer or Seller in an intragovernmental exchange transaction may recognize a credit receivable for the trade-in value of the carcass to be exchanged in the future, while the Seller may also recognize the value of an advance credit receivable against a future exchange order for a similar or new replacement item. This exchange credit receivable is applied to the determination of the net exchange price of the replacement item. This account does not close at year-end.</w:t>
      </w:r>
    </w:p>
    <w:p w14:paraId="3ECD3343" w14:textId="77777777"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
          <w:color w:val="0070C0"/>
          <w:sz w:val="22"/>
          <w:szCs w:val="22"/>
        </w:rPr>
      </w:pPr>
    </w:p>
    <w:p w14:paraId="333FD28A" w14:textId="4930CEBE" w:rsidR="007636AF" w:rsidRPr="00DF390F" w:rsidRDefault="007636AF" w:rsidP="007636AF">
      <w:pPr>
        <w:pStyle w:val="Default"/>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 xml:space="preserve">In routine business operations, of the United States Military Working Capital Fund, repairable units of inventory (carcasses) are turned </w:t>
      </w:r>
      <w:proofErr w:type="gramStart"/>
      <w:r>
        <w:rPr>
          <w:rFonts w:asciiTheme="minorHAnsi" w:hAnsiTheme="minorHAnsi" w:cstheme="minorHAnsi"/>
          <w:bCs/>
          <w:i/>
          <w:iCs/>
          <w:sz w:val="22"/>
          <w:szCs w:val="22"/>
        </w:rPr>
        <w:t>in to</w:t>
      </w:r>
      <w:proofErr w:type="gramEnd"/>
      <w:r>
        <w:rPr>
          <w:rFonts w:asciiTheme="minorHAnsi" w:hAnsiTheme="minorHAnsi" w:cstheme="minorHAnsi"/>
          <w:bCs/>
          <w:i/>
          <w:iCs/>
          <w:sz w:val="22"/>
          <w:szCs w:val="22"/>
        </w:rPr>
        <w:t xml:space="preserve"> the Seller for a credit towards the purchase of new inventory materials. However, this exchange rarely takes place at the same </w:t>
      </w:r>
      <w:proofErr w:type="gramStart"/>
      <w:r>
        <w:rPr>
          <w:rFonts w:asciiTheme="minorHAnsi" w:hAnsiTheme="minorHAnsi" w:cstheme="minorHAnsi"/>
          <w:bCs/>
          <w:i/>
          <w:iCs/>
          <w:sz w:val="22"/>
          <w:szCs w:val="22"/>
        </w:rPr>
        <w:t>time, and</w:t>
      </w:r>
      <w:proofErr w:type="gramEnd"/>
      <w:r>
        <w:rPr>
          <w:rFonts w:asciiTheme="minorHAnsi" w:hAnsiTheme="minorHAnsi" w:cstheme="minorHAnsi"/>
          <w:bCs/>
          <w:i/>
          <w:iCs/>
          <w:sz w:val="22"/>
          <w:szCs w:val="22"/>
        </w:rPr>
        <w:t xml:space="preserve"> can occur in advance of an order or many periods after the sale settlement takes place. This account allows the Buyer and Seller in the intragovernmental transaction to accurately account for </w:t>
      </w:r>
      <w:proofErr w:type="gramStart"/>
      <w:r>
        <w:rPr>
          <w:rFonts w:asciiTheme="minorHAnsi" w:hAnsiTheme="minorHAnsi" w:cstheme="minorHAnsi"/>
          <w:bCs/>
          <w:i/>
          <w:iCs/>
          <w:sz w:val="22"/>
          <w:szCs w:val="22"/>
        </w:rPr>
        <w:t>the future</w:t>
      </w:r>
      <w:proofErr w:type="gramEnd"/>
      <w:r>
        <w:rPr>
          <w:rFonts w:asciiTheme="minorHAnsi" w:hAnsiTheme="minorHAnsi" w:cstheme="minorHAnsi"/>
          <w:bCs/>
          <w:i/>
          <w:iCs/>
          <w:sz w:val="22"/>
          <w:szCs w:val="22"/>
        </w:rPr>
        <w:t xml:space="preserve"> exchange credit.</w:t>
      </w:r>
    </w:p>
    <w:p w14:paraId="776827F5" w14:textId="59F885A2" w:rsid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
          <w:color w:val="0070C0"/>
          <w:sz w:val="22"/>
          <w:szCs w:val="22"/>
        </w:rPr>
      </w:pPr>
    </w:p>
    <w:p w14:paraId="6E2DBEC5" w14:textId="5700EFB3"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7636AF">
        <w:rPr>
          <w:rFonts w:asciiTheme="minorHAnsi" w:hAnsiTheme="minorHAnsi" w:cstheme="minorHAnsi"/>
          <w:b/>
          <w:color w:val="0070C0"/>
          <w:sz w:val="22"/>
          <w:szCs w:val="22"/>
        </w:rPr>
        <w:t xml:space="preserve">Account Title: </w:t>
      </w:r>
      <w:r w:rsidRPr="007636AF">
        <w:rPr>
          <w:rFonts w:asciiTheme="minorHAnsi" w:hAnsiTheme="minorHAnsi" w:cstheme="minorHAnsi"/>
          <w:bCs/>
          <w:color w:val="0070C0"/>
          <w:sz w:val="22"/>
          <w:szCs w:val="22"/>
        </w:rPr>
        <w:t>Liability For Future Exchange</w:t>
      </w:r>
    </w:p>
    <w:p w14:paraId="6BFC6CE5" w14:textId="77777777"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7636AF">
        <w:rPr>
          <w:rFonts w:asciiTheme="minorHAnsi" w:hAnsiTheme="minorHAnsi" w:cstheme="minorHAnsi"/>
          <w:b/>
          <w:color w:val="0070C0"/>
          <w:sz w:val="22"/>
          <w:szCs w:val="22"/>
        </w:rPr>
        <w:t xml:space="preserve">Account Number: </w:t>
      </w:r>
      <w:r w:rsidRPr="007636AF">
        <w:rPr>
          <w:rFonts w:asciiTheme="minorHAnsi" w:hAnsiTheme="minorHAnsi" w:cstheme="minorHAnsi"/>
          <w:bCs/>
          <w:color w:val="0070C0"/>
          <w:sz w:val="22"/>
          <w:szCs w:val="22"/>
        </w:rPr>
        <w:t xml:space="preserve">293900 </w:t>
      </w:r>
    </w:p>
    <w:p w14:paraId="4DEA8B98" w14:textId="77777777"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7636AF">
        <w:rPr>
          <w:rFonts w:asciiTheme="minorHAnsi" w:hAnsiTheme="minorHAnsi" w:cstheme="minorHAnsi"/>
          <w:b/>
          <w:color w:val="0070C0"/>
          <w:sz w:val="22"/>
          <w:szCs w:val="22"/>
        </w:rPr>
        <w:t xml:space="preserve">Normal Balance: </w:t>
      </w:r>
      <w:r w:rsidRPr="007636AF">
        <w:rPr>
          <w:rFonts w:asciiTheme="minorHAnsi" w:hAnsiTheme="minorHAnsi" w:cstheme="minorHAnsi"/>
          <w:bCs/>
          <w:color w:val="0070C0"/>
          <w:sz w:val="22"/>
          <w:szCs w:val="22"/>
        </w:rPr>
        <w:t xml:space="preserve">Credit </w:t>
      </w:r>
    </w:p>
    <w:p w14:paraId="39FA308B" w14:textId="50F4C985" w:rsidR="007636AF" w:rsidRPr="007636AF" w:rsidRDefault="007636AF" w:rsidP="007636AF">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7636AF">
        <w:rPr>
          <w:rFonts w:asciiTheme="minorHAnsi" w:hAnsiTheme="minorHAnsi" w:cstheme="minorHAnsi"/>
          <w:b/>
          <w:color w:val="0070C0"/>
          <w:sz w:val="22"/>
          <w:szCs w:val="22"/>
        </w:rPr>
        <w:t xml:space="preserve">Definition: </w:t>
      </w:r>
      <w:r w:rsidR="00451EC7" w:rsidRPr="00451EC7">
        <w:rPr>
          <w:rFonts w:asciiTheme="minorHAnsi" w:hAnsiTheme="minorHAnsi" w:cstheme="minorHAnsi"/>
          <w:bCs/>
          <w:color w:val="0070C0"/>
          <w:sz w:val="22"/>
          <w:szCs w:val="22"/>
        </w:rPr>
        <w:t xml:space="preserve">This account is used to record the agreed upon value of a liability for the turn-in of a carcass to another federal trading partner. This liability may be related to an existing customer exchange order with a carcass unit to be </w:t>
      </w:r>
      <w:proofErr w:type="gramStart"/>
      <w:r w:rsidR="00451EC7" w:rsidRPr="00451EC7">
        <w:rPr>
          <w:rFonts w:asciiTheme="minorHAnsi" w:hAnsiTheme="minorHAnsi" w:cstheme="minorHAnsi"/>
          <w:bCs/>
          <w:color w:val="0070C0"/>
          <w:sz w:val="22"/>
          <w:szCs w:val="22"/>
        </w:rPr>
        <w:t>turned-in</w:t>
      </w:r>
      <w:proofErr w:type="gramEnd"/>
      <w:r w:rsidR="00451EC7" w:rsidRPr="00451EC7">
        <w:rPr>
          <w:rFonts w:asciiTheme="minorHAnsi" w:hAnsiTheme="minorHAnsi" w:cstheme="minorHAnsi"/>
          <w:bCs/>
          <w:color w:val="0070C0"/>
          <w:sz w:val="22"/>
          <w:szCs w:val="22"/>
        </w:rPr>
        <w:t xml:space="preserve"> by the </w:t>
      </w:r>
      <w:proofErr w:type="gramStart"/>
      <w:r w:rsidR="00451EC7" w:rsidRPr="00451EC7">
        <w:rPr>
          <w:rFonts w:asciiTheme="minorHAnsi" w:hAnsiTheme="minorHAnsi" w:cstheme="minorHAnsi"/>
          <w:bCs/>
          <w:color w:val="0070C0"/>
          <w:sz w:val="22"/>
          <w:szCs w:val="22"/>
        </w:rPr>
        <w:t>Buyer, or</w:t>
      </w:r>
      <w:proofErr w:type="gramEnd"/>
      <w:r w:rsidR="00451EC7" w:rsidRPr="00451EC7">
        <w:rPr>
          <w:rFonts w:asciiTheme="minorHAnsi" w:hAnsiTheme="minorHAnsi" w:cstheme="minorHAnsi"/>
          <w:bCs/>
          <w:color w:val="0070C0"/>
          <w:sz w:val="22"/>
          <w:szCs w:val="22"/>
        </w:rPr>
        <w:t xml:space="preserve"> may reflect the value of advance credit offered by the Seller against a future exchange order for a similar or new replacement item. This liability is applied to the determination of the net exchange price of the replacement item. This account does not close at year-end.</w:t>
      </w:r>
    </w:p>
    <w:p w14:paraId="5F1E163A" w14:textId="77777777" w:rsidR="007636AF" w:rsidRDefault="007636AF" w:rsidP="00C403A8">
      <w:pPr>
        <w:pStyle w:val="PlainText"/>
        <w:keepNext/>
        <w:keepLines/>
        <w:tabs>
          <w:tab w:val="left" w:pos="660"/>
          <w:tab w:val="left" w:pos="1840"/>
          <w:tab w:val="left" w:pos="2940"/>
          <w:tab w:val="left" w:pos="3140"/>
        </w:tabs>
        <w:jc w:val="both"/>
        <w:rPr>
          <w:rFonts w:asciiTheme="minorHAnsi" w:hAnsiTheme="minorHAnsi" w:cstheme="minorHAnsi"/>
          <w:b/>
          <w:color w:val="0070C0"/>
          <w:sz w:val="22"/>
          <w:szCs w:val="22"/>
        </w:rPr>
      </w:pPr>
    </w:p>
    <w:p w14:paraId="2BB84315" w14:textId="6597519E" w:rsidR="007636AF" w:rsidRDefault="000F7105" w:rsidP="00C403A8">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 xml:space="preserve">In routine business operations, of the United States Military Working Capital Fund, repairable units of inventory (carcasses) are turned </w:t>
      </w:r>
      <w:proofErr w:type="gramStart"/>
      <w:r>
        <w:rPr>
          <w:rFonts w:asciiTheme="minorHAnsi" w:hAnsiTheme="minorHAnsi" w:cstheme="minorHAnsi"/>
          <w:bCs/>
          <w:i/>
          <w:iCs/>
          <w:sz w:val="22"/>
          <w:szCs w:val="22"/>
        </w:rPr>
        <w:t>in to</w:t>
      </w:r>
      <w:proofErr w:type="gramEnd"/>
      <w:r>
        <w:rPr>
          <w:rFonts w:asciiTheme="minorHAnsi" w:hAnsiTheme="minorHAnsi" w:cstheme="minorHAnsi"/>
          <w:bCs/>
          <w:i/>
          <w:iCs/>
          <w:sz w:val="22"/>
          <w:szCs w:val="22"/>
        </w:rPr>
        <w:t xml:space="preserve"> the Seller for a credit towards the purchase of new inventory materials. However, this exchange rarely takes place at the same </w:t>
      </w:r>
      <w:proofErr w:type="gramStart"/>
      <w:r>
        <w:rPr>
          <w:rFonts w:asciiTheme="minorHAnsi" w:hAnsiTheme="minorHAnsi" w:cstheme="minorHAnsi"/>
          <w:bCs/>
          <w:i/>
          <w:iCs/>
          <w:sz w:val="22"/>
          <w:szCs w:val="22"/>
        </w:rPr>
        <w:t>time, and</w:t>
      </w:r>
      <w:proofErr w:type="gramEnd"/>
      <w:r>
        <w:rPr>
          <w:rFonts w:asciiTheme="minorHAnsi" w:hAnsiTheme="minorHAnsi" w:cstheme="minorHAnsi"/>
          <w:bCs/>
          <w:i/>
          <w:iCs/>
          <w:sz w:val="22"/>
          <w:szCs w:val="22"/>
        </w:rPr>
        <w:t xml:space="preserve"> can occur in advance of an order or many periods after the sale settlement takes place. This account allows the Buyer and Seller in the intragovernmental transaction to accurately account for </w:t>
      </w:r>
      <w:proofErr w:type="gramStart"/>
      <w:r>
        <w:rPr>
          <w:rFonts w:asciiTheme="minorHAnsi" w:hAnsiTheme="minorHAnsi" w:cstheme="minorHAnsi"/>
          <w:bCs/>
          <w:i/>
          <w:iCs/>
          <w:sz w:val="22"/>
          <w:szCs w:val="22"/>
        </w:rPr>
        <w:t>the future</w:t>
      </w:r>
      <w:proofErr w:type="gramEnd"/>
      <w:r>
        <w:rPr>
          <w:rFonts w:asciiTheme="minorHAnsi" w:hAnsiTheme="minorHAnsi" w:cstheme="minorHAnsi"/>
          <w:bCs/>
          <w:i/>
          <w:iCs/>
          <w:sz w:val="22"/>
          <w:szCs w:val="22"/>
        </w:rPr>
        <w:t xml:space="preserve"> exchange credit.</w:t>
      </w:r>
    </w:p>
    <w:p w14:paraId="55ADD91E" w14:textId="77777777" w:rsidR="000F7105" w:rsidRDefault="000F7105" w:rsidP="00C403A8">
      <w:pPr>
        <w:pStyle w:val="PlainText"/>
        <w:keepNext/>
        <w:keepLines/>
        <w:tabs>
          <w:tab w:val="left" w:pos="660"/>
          <w:tab w:val="left" w:pos="1840"/>
          <w:tab w:val="left" w:pos="2940"/>
          <w:tab w:val="left" w:pos="3140"/>
        </w:tabs>
        <w:jc w:val="both"/>
        <w:rPr>
          <w:rFonts w:asciiTheme="minorHAnsi" w:hAnsiTheme="minorHAnsi" w:cstheme="minorHAnsi"/>
          <w:b/>
          <w:color w:val="0070C0"/>
          <w:sz w:val="22"/>
          <w:szCs w:val="22"/>
        </w:rPr>
      </w:pPr>
    </w:p>
    <w:p w14:paraId="1757C462" w14:textId="77777777" w:rsidR="00776622" w:rsidRDefault="00776622" w:rsidP="00776622">
      <w:pPr>
        <w:jc w:val="center"/>
        <w:rPr>
          <w:rFonts w:cstheme="minorHAnsi"/>
          <w:b/>
          <w:bCs/>
          <w:sz w:val="28"/>
          <w:szCs w:val="28"/>
          <w:u w:val="single"/>
        </w:rPr>
      </w:pPr>
    </w:p>
    <w:p w14:paraId="5F37F89C" w14:textId="77777777" w:rsidR="00776622" w:rsidRDefault="00776622" w:rsidP="00776622">
      <w:pPr>
        <w:jc w:val="center"/>
        <w:rPr>
          <w:rFonts w:cstheme="minorHAnsi"/>
          <w:b/>
          <w:bCs/>
          <w:sz w:val="28"/>
          <w:szCs w:val="28"/>
          <w:u w:val="single"/>
        </w:rPr>
      </w:pPr>
    </w:p>
    <w:p w14:paraId="77E61B1E" w14:textId="77777777" w:rsidR="00776622" w:rsidRDefault="00776622" w:rsidP="00776622">
      <w:pPr>
        <w:jc w:val="center"/>
        <w:rPr>
          <w:rFonts w:cstheme="minorHAnsi"/>
          <w:b/>
          <w:bCs/>
          <w:sz w:val="28"/>
          <w:szCs w:val="28"/>
          <w:u w:val="single"/>
        </w:rPr>
      </w:pPr>
    </w:p>
    <w:p w14:paraId="31BDF14E" w14:textId="77777777" w:rsidR="00776622" w:rsidRDefault="00776622" w:rsidP="00776622">
      <w:pPr>
        <w:jc w:val="center"/>
        <w:rPr>
          <w:rFonts w:cstheme="minorHAnsi"/>
          <w:b/>
          <w:bCs/>
          <w:sz w:val="28"/>
          <w:szCs w:val="28"/>
          <w:u w:val="single"/>
        </w:rPr>
      </w:pPr>
    </w:p>
    <w:p w14:paraId="2CF6A8A3" w14:textId="77777777" w:rsidR="00776622" w:rsidRDefault="00776622" w:rsidP="00776622">
      <w:pPr>
        <w:jc w:val="center"/>
        <w:rPr>
          <w:rFonts w:cstheme="minorHAnsi"/>
          <w:b/>
          <w:bCs/>
          <w:sz w:val="28"/>
          <w:szCs w:val="28"/>
          <w:u w:val="single"/>
        </w:rPr>
      </w:pPr>
    </w:p>
    <w:p w14:paraId="71059C16" w14:textId="77777777" w:rsidR="00776622" w:rsidRDefault="00776622" w:rsidP="00451EC7">
      <w:pPr>
        <w:rPr>
          <w:rFonts w:cstheme="minorHAnsi"/>
          <w:b/>
          <w:bCs/>
          <w:sz w:val="28"/>
          <w:szCs w:val="28"/>
          <w:u w:val="single"/>
        </w:rPr>
      </w:pPr>
    </w:p>
    <w:p w14:paraId="0631613B" w14:textId="48DC2ABB" w:rsidR="00F52182" w:rsidRPr="00C70A55" w:rsidRDefault="00F52182" w:rsidP="00C70A55">
      <w:pPr>
        <w:jc w:val="center"/>
        <w:rPr>
          <w:rFonts w:cstheme="minorHAnsi"/>
          <w:b/>
          <w:bCs/>
          <w:sz w:val="28"/>
          <w:szCs w:val="28"/>
          <w:u w:val="single"/>
        </w:rPr>
      </w:pPr>
      <w:r w:rsidRPr="00C70A55">
        <w:rPr>
          <w:rFonts w:cstheme="minorHAnsi"/>
          <w:b/>
          <w:bCs/>
          <w:sz w:val="28"/>
          <w:szCs w:val="28"/>
          <w:u w:val="single"/>
        </w:rPr>
        <w:lastRenderedPageBreak/>
        <w:t xml:space="preserve">Proprietary </w:t>
      </w:r>
      <w:r w:rsidR="00554987">
        <w:rPr>
          <w:rFonts w:cstheme="minorHAnsi"/>
          <w:b/>
          <w:bCs/>
          <w:sz w:val="28"/>
          <w:szCs w:val="28"/>
          <w:u w:val="single"/>
        </w:rPr>
        <w:t>USSGL</w:t>
      </w:r>
      <w:r w:rsidRPr="00C70A55">
        <w:rPr>
          <w:rFonts w:cstheme="minorHAnsi"/>
          <w:b/>
          <w:bCs/>
          <w:sz w:val="28"/>
          <w:szCs w:val="28"/>
          <w:u w:val="single"/>
        </w:rPr>
        <w:t xml:space="preserve"> </w:t>
      </w:r>
      <w:r w:rsidR="00554987">
        <w:rPr>
          <w:rFonts w:cstheme="minorHAnsi"/>
          <w:b/>
          <w:bCs/>
          <w:sz w:val="28"/>
          <w:szCs w:val="28"/>
          <w:u w:val="single"/>
        </w:rPr>
        <w:t>Account Definition Modifications</w:t>
      </w:r>
      <w:r w:rsidRPr="00C70A55">
        <w:rPr>
          <w:rFonts w:cstheme="minorHAnsi"/>
          <w:b/>
          <w:bCs/>
          <w:sz w:val="28"/>
          <w:szCs w:val="28"/>
          <w:u w:val="single"/>
        </w:rPr>
        <w:t xml:space="preserve"> (</w:t>
      </w:r>
      <w:r w:rsidR="00B84E01">
        <w:rPr>
          <w:rFonts w:cstheme="minorHAnsi"/>
          <w:b/>
          <w:bCs/>
          <w:sz w:val="28"/>
          <w:szCs w:val="28"/>
          <w:u w:val="single"/>
        </w:rPr>
        <w:t xml:space="preserve">Effective </w:t>
      </w:r>
      <w:r w:rsidRPr="00C70A55">
        <w:rPr>
          <w:rFonts w:cstheme="minorHAnsi"/>
          <w:b/>
          <w:bCs/>
          <w:sz w:val="28"/>
          <w:szCs w:val="28"/>
          <w:u w:val="single"/>
        </w:rPr>
        <w:t>FY 202</w:t>
      </w:r>
      <w:r w:rsidR="005D761A">
        <w:rPr>
          <w:rFonts w:cstheme="minorHAnsi"/>
          <w:b/>
          <w:bCs/>
          <w:sz w:val="28"/>
          <w:szCs w:val="28"/>
          <w:u w:val="single"/>
        </w:rPr>
        <w:t>6</w:t>
      </w:r>
      <w:r w:rsidRPr="00C70A55">
        <w:rPr>
          <w:rFonts w:cstheme="minorHAnsi"/>
          <w:b/>
          <w:bCs/>
          <w:sz w:val="28"/>
          <w:szCs w:val="28"/>
          <w:u w:val="single"/>
        </w:rPr>
        <w:t>)</w:t>
      </w:r>
    </w:p>
    <w:p w14:paraId="16B3B076" w14:textId="0430EE17" w:rsidR="00C472DD" w:rsidRDefault="00C472DD" w:rsidP="00EB1BBD">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p>
    <w:p w14:paraId="389278F1" w14:textId="457D1577" w:rsidR="00DB2161" w:rsidRDefault="00DB2161" w:rsidP="00DB2161">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554987">
        <w:rPr>
          <w:rFonts w:asciiTheme="minorHAnsi" w:hAnsiTheme="minorHAnsi" w:cstheme="minorHAnsi"/>
          <w:b/>
          <w:sz w:val="22"/>
          <w:szCs w:val="22"/>
        </w:rPr>
        <w:t xml:space="preserve">Account Title: </w:t>
      </w:r>
      <w:r w:rsidRPr="00DB2161">
        <w:rPr>
          <w:rFonts w:asciiTheme="minorHAnsi" w:hAnsiTheme="minorHAnsi" w:cstheme="minorHAnsi"/>
          <w:bCs/>
          <w:sz w:val="22"/>
          <w:szCs w:val="22"/>
        </w:rPr>
        <w:t>Checks Outstanding</w:t>
      </w:r>
    </w:p>
    <w:p w14:paraId="663692D6" w14:textId="0F44384F" w:rsidR="00DB2161" w:rsidRDefault="00DB2161" w:rsidP="00DB2161">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Account Number: </w:t>
      </w:r>
      <w:r>
        <w:rPr>
          <w:rFonts w:asciiTheme="minorHAnsi" w:hAnsiTheme="minorHAnsi" w:cstheme="minorHAnsi"/>
          <w:bCs/>
          <w:sz w:val="22"/>
          <w:szCs w:val="22"/>
        </w:rPr>
        <w:t>110900</w:t>
      </w:r>
      <w:r w:rsidRPr="00554987">
        <w:rPr>
          <w:rFonts w:asciiTheme="minorHAnsi" w:hAnsiTheme="minorHAnsi" w:cstheme="minorHAnsi"/>
          <w:b/>
          <w:sz w:val="22"/>
          <w:szCs w:val="22"/>
        </w:rPr>
        <w:t xml:space="preserve"> </w:t>
      </w:r>
    </w:p>
    <w:p w14:paraId="56ABFB0D" w14:textId="1704278A" w:rsidR="00DB2161" w:rsidRDefault="00DB2161" w:rsidP="00DB2161">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Normal Balance: </w:t>
      </w:r>
      <w:r>
        <w:rPr>
          <w:rFonts w:asciiTheme="minorHAnsi" w:hAnsiTheme="minorHAnsi" w:cstheme="minorHAnsi"/>
          <w:bCs/>
          <w:sz w:val="22"/>
          <w:szCs w:val="22"/>
        </w:rPr>
        <w:t>Credit</w:t>
      </w:r>
    </w:p>
    <w:p w14:paraId="1ECAFD5D" w14:textId="0BA3CE04" w:rsidR="00DB2161" w:rsidRPr="005D761A" w:rsidRDefault="00DB2161" w:rsidP="001D789A">
      <w:pPr>
        <w:pStyle w:val="Default"/>
        <w:jc w:val="both"/>
        <w:rPr>
          <w:rFonts w:asciiTheme="minorHAnsi" w:hAnsiTheme="minorHAnsi" w:cstheme="minorHAnsi"/>
          <w:bCs/>
          <w:color w:val="0070C0"/>
          <w:sz w:val="22"/>
          <w:szCs w:val="22"/>
        </w:rPr>
      </w:pPr>
      <w:r w:rsidRPr="00554987">
        <w:rPr>
          <w:rFonts w:asciiTheme="minorHAnsi" w:hAnsiTheme="minorHAnsi" w:cstheme="minorHAnsi"/>
          <w:b/>
          <w:sz w:val="22"/>
          <w:szCs w:val="22"/>
        </w:rPr>
        <w:t xml:space="preserve">Definition: </w:t>
      </w:r>
      <w:r w:rsidRPr="00DB2161">
        <w:rPr>
          <w:rFonts w:asciiTheme="minorHAnsi" w:hAnsiTheme="minorHAnsi" w:cstheme="minorHAnsi"/>
          <w:bCs/>
          <w:sz w:val="22"/>
          <w:szCs w:val="22"/>
        </w:rPr>
        <w:t xml:space="preserve">This account is used to record the </w:t>
      </w:r>
      <w:proofErr w:type="gramStart"/>
      <w:r w:rsidRPr="00DB2161">
        <w:rPr>
          <w:rFonts w:asciiTheme="minorHAnsi" w:hAnsiTheme="minorHAnsi" w:cstheme="minorHAnsi"/>
          <w:bCs/>
          <w:sz w:val="22"/>
          <w:szCs w:val="22"/>
        </w:rPr>
        <w:t>amount</w:t>
      </w:r>
      <w:proofErr w:type="gramEnd"/>
      <w:r w:rsidRPr="00DB2161">
        <w:rPr>
          <w:rFonts w:asciiTheme="minorHAnsi" w:hAnsiTheme="minorHAnsi" w:cstheme="minorHAnsi"/>
          <w:bCs/>
          <w:sz w:val="22"/>
          <w:szCs w:val="22"/>
        </w:rPr>
        <w:t xml:space="preserve"> of checks issued by U.S. Disbursing Officers (</w:t>
      </w:r>
      <w:r w:rsidRPr="00801649">
        <w:rPr>
          <w:rFonts w:asciiTheme="minorHAnsi" w:hAnsiTheme="minorHAnsi" w:cstheme="minorHAnsi"/>
          <w:bCs/>
          <w:strike/>
          <w:color w:val="FF0000"/>
          <w:sz w:val="22"/>
          <w:szCs w:val="22"/>
        </w:rPr>
        <w:t xml:space="preserve">for example </w:t>
      </w:r>
      <w:r w:rsidRPr="00DB2161">
        <w:rPr>
          <w:rFonts w:asciiTheme="minorHAnsi" w:hAnsiTheme="minorHAnsi" w:cstheme="minorHAnsi"/>
          <w:bCs/>
          <w:sz w:val="22"/>
          <w:szCs w:val="22"/>
        </w:rPr>
        <w:t>includ</w:t>
      </w:r>
      <w:r w:rsidR="00801649">
        <w:rPr>
          <w:rFonts w:asciiTheme="minorHAnsi" w:hAnsiTheme="minorHAnsi" w:cstheme="minorHAnsi"/>
          <w:bCs/>
          <w:sz w:val="22"/>
          <w:szCs w:val="22"/>
        </w:rPr>
        <w:t>ing</w:t>
      </w:r>
      <w:r w:rsidRPr="00DB2161">
        <w:rPr>
          <w:rFonts w:asciiTheme="minorHAnsi" w:hAnsiTheme="minorHAnsi" w:cstheme="minorHAnsi"/>
          <w:bCs/>
          <w:sz w:val="22"/>
          <w:szCs w:val="22"/>
        </w:rPr>
        <w:t xml:space="preserve"> Treasury Disbursing Officers and Non-Treasury Disbursing Officers) that have not been matched against a payment record in </w:t>
      </w:r>
      <w:r w:rsidRPr="008C21E0">
        <w:rPr>
          <w:rFonts w:asciiTheme="minorHAnsi" w:hAnsiTheme="minorHAnsi" w:cstheme="minorHAnsi"/>
          <w:bCs/>
          <w:strike/>
          <w:color w:val="FF0000"/>
          <w:sz w:val="22"/>
          <w:szCs w:val="22"/>
        </w:rPr>
        <w:t xml:space="preserve">the Treasury </w:t>
      </w:r>
      <w:r w:rsidRPr="002D6E49">
        <w:rPr>
          <w:rFonts w:asciiTheme="minorHAnsi" w:hAnsiTheme="minorHAnsi" w:cstheme="minorHAnsi"/>
          <w:bCs/>
          <w:strike/>
          <w:color w:val="FF0000"/>
          <w:sz w:val="22"/>
          <w:szCs w:val="22"/>
        </w:rPr>
        <w:t>Check Information System</w:t>
      </w:r>
      <w:r w:rsidR="002D6E49">
        <w:rPr>
          <w:rFonts w:asciiTheme="minorHAnsi" w:hAnsiTheme="minorHAnsi" w:cstheme="minorHAnsi"/>
          <w:bCs/>
          <w:sz w:val="22"/>
          <w:szCs w:val="22"/>
        </w:rPr>
        <w:t xml:space="preserve"> </w:t>
      </w:r>
      <w:r w:rsidR="002D6E49" w:rsidRPr="002D6E49">
        <w:rPr>
          <w:rFonts w:asciiTheme="minorHAnsi" w:hAnsiTheme="minorHAnsi" w:cstheme="minorHAnsi"/>
          <w:bCs/>
          <w:color w:val="2E74B5" w:themeColor="accent5" w:themeShade="BF"/>
          <w:sz w:val="22"/>
          <w:szCs w:val="22"/>
        </w:rPr>
        <w:t>Payment Information and View of Transactions (PIVOT</w:t>
      </w:r>
      <w:r w:rsidRPr="002D6E49">
        <w:rPr>
          <w:rFonts w:asciiTheme="minorHAnsi" w:hAnsiTheme="minorHAnsi" w:cstheme="minorHAnsi"/>
          <w:bCs/>
          <w:color w:val="2E74B5" w:themeColor="accent5" w:themeShade="BF"/>
          <w:sz w:val="22"/>
          <w:szCs w:val="22"/>
        </w:rPr>
        <w:t>.</w:t>
      </w:r>
      <w:r w:rsidR="002D6E49" w:rsidRPr="002D6E49">
        <w:rPr>
          <w:rFonts w:asciiTheme="minorHAnsi" w:hAnsiTheme="minorHAnsi" w:cstheme="minorHAnsi"/>
          <w:bCs/>
          <w:color w:val="2E74B5" w:themeColor="accent5" w:themeShade="BF"/>
          <w:sz w:val="22"/>
          <w:szCs w:val="22"/>
        </w:rPr>
        <w:t>)</w:t>
      </w:r>
      <w:r w:rsidRPr="002D6E49">
        <w:rPr>
          <w:rFonts w:asciiTheme="minorHAnsi" w:hAnsiTheme="minorHAnsi" w:cstheme="minorHAnsi"/>
          <w:bCs/>
          <w:color w:val="2E74B5" w:themeColor="accent5" w:themeShade="BF"/>
          <w:sz w:val="22"/>
          <w:szCs w:val="22"/>
        </w:rPr>
        <w:t xml:space="preserve"> </w:t>
      </w:r>
      <w:r w:rsidRPr="00DB2161">
        <w:rPr>
          <w:rFonts w:asciiTheme="minorHAnsi" w:hAnsiTheme="minorHAnsi" w:cstheme="minorHAnsi"/>
          <w:bCs/>
          <w:sz w:val="22"/>
          <w:szCs w:val="22"/>
        </w:rPr>
        <w:t>This account is for the General Fund of the U.S. Government use only. This account does not close at year-end.</w:t>
      </w:r>
    </w:p>
    <w:p w14:paraId="6C6691E1" w14:textId="77777777" w:rsidR="00DB2161" w:rsidRPr="006F7593" w:rsidRDefault="00DB2161" w:rsidP="00DB2161">
      <w:pPr>
        <w:pStyle w:val="Default"/>
        <w:rPr>
          <w:rFonts w:asciiTheme="minorHAnsi" w:hAnsiTheme="minorHAnsi" w:cstheme="minorHAnsi"/>
          <w:bCs/>
          <w:color w:val="2E74B5" w:themeColor="accent5" w:themeShade="BF"/>
          <w:sz w:val="16"/>
          <w:szCs w:val="16"/>
        </w:rPr>
      </w:pPr>
    </w:p>
    <w:p w14:paraId="35F74E50" w14:textId="0B924899" w:rsidR="00DB2161" w:rsidRPr="00DF390F" w:rsidRDefault="00DB2161" w:rsidP="00DB2161">
      <w:pPr>
        <w:pStyle w:val="Default"/>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 xml:space="preserve">This proposed USSGL definition change </w:t>
      </w:r>
      <w:r w:rsidR="00801649">
        <w:rPr>
          <w:rFonts w:asciiTheme="minorHAnsi" w:hAnsiTheme="minorHAnsi" w:cstheme="minorHAnsi"/>
          <w:bCs/>
          <w:i/>
          <w:iCs/>
          <w:sz w:val="22"/>
          <w:szCs w:val="22"/>
        </w:rPr>
        <w:t xml:space="preserve">reflects the change from </w:t>
      </w:r>
      <w:r w:rsidR="00C16F72">
        <w:rPr>
          <w:rFonts w:asciiTheme="minorHAnsi" w:hAnsiTheme="minorHAnsi" w:cstheme="minorHAnsi"/>
          <w:bCs/>
          <w:i/>
          <w:iCs/>
          <w:sz w:val="22"/>
          <w:szCs w:val="22"/>
        </w:rPr>
        <w:t xml:space="preserve">the </w:t>
      </w:r>
      <w:r w:rsidR="00801649">
        <w:rPr>
          <w:rFonts w:asciiTheme="minorHAnsi" w:hAnsiTheme="minorHAnsi" w:cstheme="minorHAnsi"/>
          <w:bCs/>
          <w:i/>
          <w:iCs/>
          <w:sz w:val="22"/>
          <w:szCs w:val="22"/>
        </w:rPr>
        <w:t xml:space="preserve">Treasury Check Information System to PIVOT. This </w:t>
      </w:r>
      <w:r w:rsidR="00C16F72">
        <w:rPr>
          <w:rFonts w:asciiTheme="minorHAnsi" w:hAnsiTheme="minorHAnsi" w:cstheme="minorHAnsi"/>
          <w:bCs/>
          <w:i/>
          <w:iCs/>
          <w:sz w:val="22"/>
          <w:szCs w:val="22"/>
        </w:rPr>
        <w:t xml:space="preserve">SGL </w:t>
      </w:r>
      <w:r w:rsidR="00801649">
        <w:rPr>
          <w:rFonts w:asciiTheme="minorHAnsi" w:hAnsiTheme="minorHAnsi" w:cstheme="minorHAnsi"/>
          <w:bCs/>
          <w:i/>
          <w:iCs/>
          <w:sz w:val="22"/>
          <w:szCs w:val="22"/>
        </w:rPr>
        <w:t xml:space="preserve">account remains for </w:t>
      </w:r>
      <w:r w:rsidR="00801649" w:rsidRPr="00801649">
        <w:rPr>
          <w:rFonts w:asciiTheme="minorHAnsi" w:hAnsiTheme="minorHAnsi" w:cstheme="minorHAnsi"/>
          <w:bCs/>
          <w:i/>
          <w:iCs/>
          <w:sz w:val="22"/>
          <w:szCs w:val="22"/>
        </w:rPr>
        <w:t>the General Fund of the U.S. Government use only.</w:t>
      </w:r>
    </w:p>
    <w:p w14:paraId="371768E1" w14:textId="04B10078" w:rsidR="00657269" w:rsidRDefault="00657269" w:rsidP="00657269">
      <w:pPr>
        <w:rPr>
          <w:rFonts w:cstheme="minorHAnsi"/>
          <w:bCs/>
          <w:i/>
          <w:iCs/>
        </w:rPr>
      </w:pPr>
    </w:p>
    <w:p w14:paraId="3B4B4991" w14:textId="50574B13" w:rsidR="00BA5C3F" w:rsidRDefault="00BA5C3F" w:rsidP="00BA5C3F">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554987">
        <w:rPr>
          <w:rFonts w:asciiTheme="minorHAnsi" w:hAnsiTheme="minorHAnsi" w:cstheme="minorHAnsi"/>
          <w:b/>
          <w:sz w:val="22"/>
          <w:szCs w:val="22"/>
        </w:rPr>
        <w:t xml:space="preserve">Account Title: </w:t>
      </w:r>
      <w:r w:rsidRPr="00BA5C3F">
        <w:rPr>
          <w:rFonts w:asciiTheme="minorHAnsi" w:hAnsiTheme="minorHAnsi" w:cstheme="minorHAnsi"/>
          <w:bCs/>
          <w:sz w:val="22"/>
          <w:szCs w:val="22"/>
        </w:rPr>
        <w:t>Central Accounting/Agency Reconciliation Account</w:t>
      </w:r>
    </w:p>
    <w:p w14:paraId="52520821" w14:textId="7B01FEDB" w:rsidR="00BA5C3F" w:rsidRDefault="00BA5C3F" w:rsidP="00BA5C3F">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Account Number: </w:t>
      </w:r>
      <w:r>
        <w:rPr>
          <w:rFonts w:asciiTheme="minorHAnsi" w:hAnsiTheme="minorHAnsi" w:cstheme="minorHAnsi"/>
          <w:bCs/>
          <w:sz w:val="22"/>
          <w:szCs w:val="22"/>
        </w:rPr>
        <w:t>125000</w:t>
      </w:r>
      <w:r w:rsidRPr="00554987">
        <w:rPr>
          <w:rFonts w:asciiTheme="minorHAnsi" w:hAnsiTheme="minorHAnsi" w:cstheme="minorHAnsi"/>
          <w:b/>
          <w:sz w:val="22"/>
          <w:szCs w:val="22"/>
        </w:rPr>
        <w:t xml:space="preserve"> </w:t>
      </w:r>
    </w:p>
    <w:p w14:paraId="300ECCA1" w14:textId="05A7C926" w:rsidR="00BA5C3F" w:rsidRDefault="00BA5C3F" w:rsidP="00BA5C3F">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Normal Balance: </w:t>
      </w:r>
      <w:r>
        <w:rPr>
          <w:rFonts w:asciiTheme="minorHAnsi" w:hAnsiTheme="minorHAnsi" w:cstheme="minorHAnsi"/>
          <w:bCs/>
          <w:sz w:val="22"/>
          <w:szCs w:val="22"/>
        </w:rPr>
        <w:t>Debit</w:t>
      </w:r>
    </w:p>
    <w:p w14:paraId="42CD12E1" w14:textId="554BBFFD" w:rsidR="00BA5C3F" w:rsidRPr="005D761A" w:rsidRDefault="00BA5C3F" w:rsidP="001D789A">
      <w:pPr>
        <w:pStyle w:val="Default"/>
        <w:jc w:val="both"/>
        <w:rPr>
          <w:rFonts w:asciiTheme="minorHAnsi" w:hAnsiTheme="minorHAnsi" w:cstheme="minorHAnsi"/>
          <w:bCs/>
          <w:color w:val="0070C0"/>
          <w:sz w:val="22"/>
          <w:szCs w:val="22"/>
        </w:rPr>
      </w:pPr>
      <w:r w:rsidRPr="00554987">
        <w:rPr>
          <w:rFonts w:asciiTheme="minorHAnsi" w:hAnsiTheme="minorHAnsi" w:cstheme="minorHAnsi"/>
          <w:b/>
          <w:sz w:val="22"/>
          <w:szCs w:val="22"/>
        </w:rPr>
        <w:t xml:space="preserve">Definition: </w:t>
      </w:r>
      <w:r w:rsidRPr="00BA5C3F">
        <w:rPr>
          <w:rFonts w:asciiTheme="minorHAnsi" w:hAnsiTheme="minorHAnsi" w:cstheme="minorHAnsi"/>
          <w:bCs/>
          <w:sz w:val="22"/>
          <w:szCs w:val="22"/>
        </w:rPr>
        <w:t xml:space="preserve">This account is used to record the net amount of unreconciled deposit and disbursement differences. </w:t>
      </w:r>
      <w:r w:rsidR="0031300B" w:rsidRPr="0031300B">
        <w:rPr>
          <w:rFonts w:asciiTheme="minorHAnsi" w:hAnsiTheme="minorHAnsi" w:cstheme="minorHAnsi"/>
          <w:bCs/>
          <w:color w:val="2E74B5" w:themeColor="accent5" w:themeShade="BF"/>
          <w:sz w:val="22"/>
          <w:szCs w:val="22"/>
        </w:rPr>
        <w:t>An entity’s</w:t>
      </w:r>
      <w:r w:rsidRPr="0031300B">
        <w:rPr>
          <w:rFonts w:asciiTheme="minorHAnsi" w:hAnsiTheme="minorHAnsi" w:cstheme="minorHAnsi"/>
          <w:bCs/>
          <w:color w:val="2E74B5" w:themeColor="accent5" w:themeShade="BF"/>
          <w:sz w:val="22"/>
          <w:szCs w:val="22"/>
        </w:rPr>
        <w:t xml:space="preserve"> </w:t>
      </w:r>
      <w:r w:rsidRPr="00BA5C3F">
        <w:rPr>
          <w:rFonts w:asciiTheme="minorHAnsi" w:hAnsiTheme="minorHAnsi" w:cstheme="minorHAnsi"/>
          <w:bCs/>
          <w:sz w:val="22"/>
          <w:szCs w:val="22"/>
        </w:rPr>
        <w:t>Statement of Difference</w:t>
      </w:r>
      <w:r w:rsidRPr="0031300B">
        <w:rPr>
          <w:rFonts w:asciiTheme="minorHAnsi" w:hAnsiTheme="minorHAnsi" w:cstheme="minorHAnsi"/>
          <w:bCs/>
          <w:sz w:val="22"/>
          <w:szCs w:val="22"/>
        </w:rPr>
        <w:t>s</w:t>
      </w:r>
      <w:r w:rsidRPr="00BA5C3F">
        <w:rPr>
          <w:rFonts w:asciiTheme="minorHAnsi" w:hAnsiTheme="minorHAnsi" w:cstheme="minorHAnsi"/>
          <w:bCs/>
          <w:sz w:val="22"/>
          <w:szCs w:val="22"/>
        </w:rPr>
        <w:t xml:space="preserve"> (reconciliations for deposits) compare</w:t>
      </w:r>
      <w:r w:rsidRPr="0031300B">
        <w:rPr>
          <w:rFonts w:asciiTheme="minorHAnsi" w:hAnsiTheme="minorHAnsi" w:cstheme="minorHAnsi"/>
          <w:bCs/>
          <w:sz w:val="22"/>
          <w:szCs w:val="22"/>
        </w:rPr>
        <w:t>s</w:t>
      </w:r>
      <w:r w:rsidRPr="00BA5C3F">
        <w:rPr>
          <w:rFonts w:asciiTheme="minorHAnsi" w:hAnsiTheme="minorHAnsi" w:cstheme="minorHAnsi"/>
          <w:bCs/>
          <w:sz w:val="22"/>
          <w:szCs w:val="22"/>
        </w:rPr>
        <w:t xml:space="preserve"> monthly totals of federal entity deposits presented or mailed to the bank with total deposits submitted through the banking system via </w:t>
      </w:r>
      <w:r w:rsidRPr="00284113">
        <w:rPr>
          <w:rFonts w:asciiTheme="minorHAnsi" w:hAnsiTheme="minorHAnsi" w:cstheme="minorHAnsi"/>
          <w:bCs/>
          <w:strike/>
          <w:color w:val="FF0000"/>
          <w:sz w:val="22"/>
          <w:szCs w:val="22"/>
        </w:rPr>
        <w:t>Standard Form (SF) 215: Deposit Ticket/SF 5515: Debit Voucher (</w:t>
      </w:r>
      <w:r w:rsidRPr="00BA5C3F">
        <w:rPr>
          <w:rFonts w:asciiTheme="minorHAnsi" w:hAnsiTheme="minorHAnsi" w:cstheme="minorHAnsi"/>
          <w:bCs/>
          <w:sz w:val="22"/>
          <w:szCs w:val="22"/>
        </w:rPr>
        <w:t>Collection Information Repository</w:t>
      </w:r>
      <w:r w:rsidR="00284113">
        <w:rPr>
          <w:rFonts w:asciiTheme="minorHAnsi" w:hAnsiTheme="minorHAnsi" w:cstheme="minorHAnsi"/>
          <w:bCs/>
          <w:sz w:val="22"/>
          <w:szCs w:val="22"/>
        </w:rPr>
        <w:t xml:space="preserve"> </w:t>
      </w:r>
      <w:r w:rsidR="00284113" w:rsidRPr="00284113">
        <w:rPr>
          <w:rFonts w:asciiTheme="minorHAnsi" w:hAnsiTheme="minorHAnsi" w:cstheme="minorHAnsi"/>
          <w:bCs/>
          <w:color w:val="0070C0"/>
          <w:sz w:val="22"/>
          <w:szCs w:val="22"/>
        </w:rPr>
        <w:t>(CIR</w:t>
      </w:r>
      <w:r w:rsidRPr="00284113">
        <w:rPr>
          <w:rFonts w:asciiTheme="minorHAnsi" w:hAnsiTheme="minorHAnsi" w:cstheme="minorHAnsi"/>
          <w:bCs/>
          <w:color w:val="0070C0"/>
          <w:sz w:val="22"/>
          <w:szCs w:val="22"/>
        </w:rPr>
        <w:t>)</w:t>
      </w:r>
      <w:r w:rsidRPr="00BA5C3F">
        <w:rPr>
          <w:rFonts w:asciiTheme="minorHAnsi" w:hAnsiTheme="minorHAnsi" w:cstheme="minorHAnsi"/>
          <w:bCs/>
          <w:sz w:val="22"/>
          <w:szCs w:val="22"/>
        </w:rPr>
        <w:t>. The Statement of Difference</w:t>
      </w:r>
      <w:r w:rsidRPr="0031300B">
        <w:rPr>
          <w:rFonts w:asciiTheme="minorHAnsi" w:hAnsiTheme="minorHAnsi" w:cstheme="minorHAnsi"/>
          <w:bCs/>
          <w:sz w:val="22"/>
          <w:szCs w:val="22"/>
        </w:rPr>
        <w:t>s</w:t>
      </w:r>
      <w:r w:rsidRPr="00BA5C3F">
        <w:rPr>
          <w:rFonts w:asciiTheme="minorHAnsi" w:hAnsiTheme="minorHAnsi" w:cstheme="minorHAnsi"/>
          <w:bCs/>
          <w:sz w:val="22"/>
          <w:szCs w:val="22"/>
        </w:rPr>
        <w:t xml:space="preserve"> (reconciliations for disbursements) compare</w:t>
      </w:r>
      <w:r w:rsidRPr="0031300B">
        <w:rPr>
          <w:rFonts w:asciiTheme="minorHAnsi" w:hAnsiTheme="minorHAnsi" w:cstheme="minorHAnsi"/>
          <w:bCs/>
          <w:sz w:val="22"/>
          <w:szCs w:val="22"/>
        </w:rPr>
        <w:t>s</w:t>
      </w:r>
      <w:r w:rsidRPr="00BA5C3F">
        <w:rPr>
          <w:rFonts w:asciiTheme="minorHAnsi" w:hAnsiTheme="minorHAnsi" w:cstheme="minorHAnsi"/>
          <w:bCs/>
          <w:sz w:val="22"/>
          <w:szCs w:val="22"/>
        </w:rPr>
        <w:t xml:space="preserve"> monthly totals of Regional Finance Centers (RFCs) and/or transactions through </w:t>
      </w:r>
      <w:r w:rsidR="00F506BF" w:rsidRPr="00F506BF">
        <w:rPr>
          <w:rFonts w:asciiTheme="minorHAnsi" w:hAnsiTheme="minorHAnsi" w:cstheme="minorHAnsi"/>
          <w:bCs/>
          <w:color w:val="2E74B5" w:themeColor="accent5" w:themeShade="BF"/>
          <w:sz w:val="22"/>
          <w:szCs w:val="22"/>
        </w:rPr>
        <w:t xml:space="preserve">G-Invoicing and </w:t>
      </w:r>
      <w:r w:rsidRPr="00BA5C3F">
        <w:rPr>
          <w:rFonts w:asciiTheme="minorHAnsi" w:hAnsiTheme="minorHAnsi" w:cstheme="minorHAnsi"/>
          <w:bCs/>
          <w:sz w:val="22"/>
          <w:szCs w:val="22"/>
        </w:rPr>
        <w:t>Intra-governmental Payment and Collection (IPAC) with agency-reported payments and collections. This account is for the General Fund of the U.S. Government use only. This account does not close at year-end.</w:t>
      </w:r>
    </w:p>
    <w:p w14:paraId="505A2C23" w14:textId="77777777" w:rsidR="00BA5C3F" w:rsidRPr="006F7593" w:rsidRDefault="00BA5C3F" w:rsidP="00BA5C3F">
      <w:pPr>
        <w:pStyle w:val="Default"/>
        <w:rPr>
          <w:rFonts w:asciiTheme="minorHAnsi" w:hAnsiTheme="minorHAnsi" w:cstheme="minorHAnsi"/>
          <w:bCs/>
          <w:color w:val="2E74B5" w:themeColor="accent5" w:themeShade="BF"/>
          <w:sz w:val="16"/>
          <w:szCs w:val="16"/>
        </w:rPr>
      </w:pPr>
    </w:p>
    <w:p w14:paraId="2E5C11DC" w14:textId="5BF306FE" w:rsidR="00BA5C3F" w:rsidRPr="00DF390F" w:rsidRDefault="00BA5C3F" w:rsidP="00BA5C3F">
      <w:pPr>
        <w:pStyle w:val="Default"/>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 xml:space="preserve">This proposed USSGL definition change reflects the </w:t>
      </w:r>
      <w:r w:rsidR="00381E50">
        <w:rPr>
          <w:rFonts w:asciiTheme="minorHAnsi" w:hAnsiTheme="minorHAnsi" w:cstheme="minorHAnsi"/>
          <w:bCs/>
          <w:i/>
          <w:iCs/>
          <w:sz w:val="22"/>
          <w:szCs w:val="22"/>
        </w:rPr>
        <w:t>transactions now processed through G-Invoicing</w:t>
      </w:r>
      <w:r>
        <w:rPr>
          <w:rFonts w:asciiTheme="minorHAnsi" w:hAnsiTheme="minorHAnsi" w:cstheme="minorHAnsi"/>
          <w:bCs/>
          <w:i/>
          <w:iCs/>
          <w:sz w:val="22"/>
          <w:szCs w:val="22"/>
        </w:rPr>
        <w:t xml:space="preserve">. This </w:t>
      </w:r>
      <w:r w:rsidR="00C16F72">
        <w:rPr>
          <w:rFonts w:asciiTheme="minorHAnsi" w:hAnsiTheme="minorHAnsi" w:cstheme="minorHAnsi"/>
          <w:bCs/>
          <w:i/>
          <w:iCs/>
          <w:sz w:val="22"/>
          <w:szCs w:val="22"/>
        </w:rPr>
        <w:t xml:space="preserve">SGL </w:t>
      </w:r>
      <w:r>
        <w:rPr>
          <w:rFonts w:asciiTheme="minorHAnsi" w:hAnsiTheme="minorHAnsi" w:cstheme="minorHAnsi"/>
          <w:bCs/>
          <w:i/>
          <w:iCs/>
          <w:sz w:val="22"/>
          <w:szCs w:val="22"/>
        </w:rPr>
        <w:t xml:space="preserve">account remains for </w:t>
      </w:r>
      <w:r w:rsidRPr="00801649">
        <w:rPr>
          <w:rFonts w:asciiTheme="minorHAnsi" w:hAnsiTheme="minorHAnsi" w:cstheme="minorHAnsi"/>
          <w:bCs/>
          <w:i/>
          <w:iCs/>
          <w:sz w:val="22"/>
          <w:szCs w:val="22"/>
        </w:rPr>
        <w:t>the General Fund of the U.S. Government use only.</w:t>
      </w:r>
    </w:p>
    <w:p w14:paraId="0BC5CDFB" w14:textId="77777777" w:rsidR="00C16F72" w:rsidRPr="006F7593" w:rsidRDefault="00C16F72" w:rsidP="00C16F72">
      <w:pPr>
        <w:pStyle w:val="PlainText"/>
        <w:keepNext/>
        <w:keepLines/>
        <w:tabs>
          <w:tab w:val="left" w:pos="660"/>
          <w:tab w:val="left" w:pos="1840"/>
          <w:tab w:val="left" w:pos="2940"/>
          <w:tab w:val="left" w:pos="3140"/>
        </w:tabs>
        <w:jc w:val="both"/>
        <w:rPr>
          <w:rFonts w:asciiTheme="minorHAnsi" w:hAnsiTheme="minorHAnsi" w:cstheme="minorHAnsi"/>
          <w:b/>
          <w:sz w:val="28"/>
          <w:szCs w:val="28"/>
        </w:rPr>
      </w:pPr>
    </w:p>
    <w:p w14:paraId="3E7BD9EB" w14:textId="77777777" w:rsidR="00C16F72" w:rsidRDefault="00C16F72" w:rsidP="00C16F72">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554987">
        <w:rPr>
          <w:rFonts w:asciiTheme="minorHAnsi" w:hAnsiTheme="minorHAnsi" w:cstheme="minorHAnsi"/>
          <w:b/>
          <w:sz w:val="22"/>
          <w:szCs w:val="22"/>
        </w:rPr>
        <w:t xml:space="preserve">Account Title: </w:t>
      </w:r>
      <w:r w:rsidRPr="005D761A">
        <w:rPr>
          <w:rFonts w:asciiTheme="minorHAnsi" w:hAnsiTheme="minorHAnsi" w:cstheme="minorHAnsi"/>
          <w:bCs/>
          <w:sz w:val="22"/>
          <w:szCs w:val="22"/>
        </w:rPr>
        <w:t>General Property, Plant, and Equipment Permanently Removed but Not Yet Disposed</w:t>
      </w:r>
    </w:p>
    <w:p w14:paraId="3063EE01" w14:textId="77777777" w:rsidR="00C16F72" w:rsidRDefault="00C16F72" w:rsidP="00C16F72">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Account Number: </w:t>
      </w:r>
      <w:r>
        <w:rPr>
          <w:rFonts w:asciiTheme="minorHAnsi" w:hAnsiTheme="minorHAnsi" w:cstheme="minorHAnsi"/>
          <w:bCs/>
          <w:sz w:val="22"/>
          <w:szCs w:val="22"/>
        </w:rPr>
        <w:t>199500</w:t>
      </w:r>
      <w:r w:rsidRPr="00554987">
        <w:rPr>
          <w:rFonts w:asciiTheme="minorHAnsi" w:hAnsiTheme="minorHAnsi" w:cstheme="minorHAnsi"/>
          <w:b/>
          <w:sz w:val="22"/>
          <w:szCs w:val="22"/>
        </w:rPr>
        <w:t xml:space="preserve"> </w:t>
      </w:r>
    </w:p>
    <w:p w14:paraId="04AE69D8" w14:textId="77777777" w:rsidR="00C16F72" w:rsidRDefault="00C16F72" w:rsidP="00C16F72">
      <w:pPr>
        <w:pStyle w:val="PlainText"/>
        <w:keepNext/>
        <w:keepLines/>
        <w:tabs>
          <w:tab w:val="left" w:pos="660"/>
          <w:tab w:val="left" w:pos="1840"/>
          <w:tab w:val="left" w:pos="2940"/>
          <w:tab w:val="left" w:pos="3140"/>
        </w:tabs>
        <w:jc w:val="both"/>
        <w:rPr>
          <w:rFonts w:asciiTheme="minorHAnsi" w:hAnsiTheme="minorHAnsi" w:cstheme="minorHAnsi"/>
          <w:b/>
          <w:sz w:val="22"/>
          <w:szCs w:val="22"/>
        </w:rPr>
      </w:pPr>
      <w:r w:rsidRPr="00554987">
        <w:rPr>
          <w:rFonts w:asciiTheme="minorHAnsi" w:hAnsiTheme="minorHAnsi" w:cstheme="minorHAnsi"/>
          <w:b/>
          <w:sz w:val="22"/>
          <w:szCs w:val="22"/>
        </w:rPr>
        <w:t xml:space="preserve">Normal Balance: </w:t>
      </w:r>
      <w:r>
        <w:rPr>
          <w:rFonts w:asciiTheme="minorHAnsi" w:hAnsiTheme="minorHAnsi" w:cstheme="minorHAnsi"/>
          <w:bCs/>
          <w:sz w:val="22"/>
          <w:szCs w:val="22"/>
        </w:rPr>
        <w:t>Debit</w:t>
      </w:r>
    </w:p>
    <w:p w14:paraId="321F2FE7" w14:textId="77777777" w:rsidR="00C16F72" w:rsidRPr="005D761A" w:rsidRDefault="00C16F72" w:rsidP="001D789A">
      <w:pPr>
        <w:pStyle w:val="Default"/>
        <w:jc w:val="both"/>
        <w:rPr>
          <w:rFonts w:asciiTheme="minorHAnsi" w:hAnsiTheme="minorHAnsi" w:cstheme="minorHAnsi"/>
          <w:bCs/>
          <w:color w:val="0070C0"/>
          <w:sz w:val="22"/>
          <w:szCs w:val="22"/>
        </w:rPr>
      </w:pPr>
      <w:r w:rsidRPr="00554987">
        <w:rPr>
          <w:rFonts w:asciiTheme="minorHAnsi" w:hAnsiTheme="minorHAnsi" w:cstheme="minorHAnsi"/>
          <w:b/>
          <w:sz w:val="22"/>
          <w:szCs w:val="22"/>
        </w:rPr>
        <w:t xml:space="preserve">Definition: </w:t>
      </w:r>
      <w:r w:rsidRPr="005D761A">
        <w:rPr>
          <w:rFonts w:asciiTheme="minorHAnsi" w:hAnsiTheme="minorHAnsi" w:cstheme="minorHAnsi"/>
          <w:bCs/>
          <w:sz w:val="22"/>
          <w:szCs w:val="22"/>
        </w:rPr>
        <w:t xml:space="preserve">This account is used to record the net realizable value of general property, plant, and equipment that is permanently removed from service but not yet disposed and is reclassified in accordance with </w:t>
      </w:r>
      <w:r w:rsidRPr="005D761A">
        <w:rPr>
          <w:rFonts w:asciiTheme="minorHAnsi" w:hAnsiTheme="minorHAnsi" w:cstheme="minorHAnsi"/>
          <w:bCs/>
          <w:strike/>
          <w:color w:val="FF0000"/>
          <w:sz w:val="22"/>
          <w:szCs w:val="22"/>
        </w:rPr>
        <w:t>Federal Accounting Standards Advisory Board (</w:t>
      </w:r>
      <w:r w:rsidRPr="005D761A">
        <w:rPr>
          <w:rFonts w:asciiTheme="minorHAnsi" w:hAnsiTheme="minorHAnsi" w:cstheme="minorHAnsi"/>
          <w:bCs/>
          <w:sz w:val="22"/>
          <w:szCs w:val="22"/>
        </w:rPr>
        <w:t>FASAB</w:t>
      </w:r>
      <w:r w:rsidRPr="005D761A">
        <w:rPr>
          <w:rFonts w:asciiTheme="minorHAnsi" w:hAnsiTheme="minorHAnsi" w:cstheme="minorHAnsi"/>
          <w:bCs/>
          <w:strike/>
          <w:color w:val="FF0000"/>
          <w:sz w:val="22"/>
          <w:szCs w:val="22"/>
        </w:rPr>
        <w:t>), Federal Financial Accounting</w:t>
      </w:r>
      <w:r w:rsidRPr="005D761A">
        <w:rPr>
          <w:rFonts w:asciiTheme="minorHAnsi" w:hAnsiTheme="minorHAnsi" w:cstheme="minorHAnsi"/>
          <w:bCs/>
          <w:color w:val="FF0000"/>
          <w:sz w:val="22"/>
          <w:szCs w:val="22"/>
        </w:rPr>
        <w:t xml:space="preserve"> </w:t>
      </w:r>
      <w:r w:rsidRPr="005D761A">
        <w:rPr>
          <w:rFonts w:asciiTheme="minorHAnsi" w:hAnsiTheme="minorHAnsi" w:cstheme="minorHAnsi"/>
          <w:bCs/>
          <w:sz w:val="22"/>
          <w:szCs w:val="22"/>
        </w:rPr>
        <w:t xml:space="preserve">Technical Release </w:t>
      </w:r>
      <w:r w:rsidRPr="005D761A">
        <w:rPr>
          <w:rFonts w:asciiTheme="minorHAnsi" w:hAnsiTheme="minorHAnsi" w:cstheme="minorHAnsi"/>
          <w:bCs/>
          <w:strike/>
          <w:color w:val="FF0000"/>
          <w:sz w:val="22"/>
          <w:szCs w:val="22"/>
        </w:rPr>
        <w:t>No.</w:t>
      </w:r>
      <w:r w:rsidRPr="005D761A">
        <w:rPr>
          <w:rFonts w:asciiTheme="minorHAnsi" w:hAnsiTheme="minorHAnsi" w:cstheme="minorHAnsi"/>
          <w:bCs/>
          <w:sz w:val="22"/>
          <w:szCs w:val="22"/>
        </w:rPr>
        <w:t xml:space="preserve"> 14, </w:t>
      </w:r>
      <w:r w:rsidRPr="005D761A">
        <w:rPr>
          <w:rFonts w:asciiTheme="minorHAnsi" w:hAnsiTheme="minorHAnsi" w:cstheme="minorHAnsi"/>
          <w:bCs/>
          <w:color w:val="0070C0"/>
          <w:sz w:val="22"/>
          <w:szCs w:val="22"/>
        </w:rPr>
        <w:t>“Implementation Guidance on the Accounting for the Disposal of General Property, Plant, and Equipment”</w:t>
      </w:r>
      <w:r>
        <w:rPr>
          <w:rFonts w:asciiTheme="minorHAnsi" w:hAnsiTheme="minorHAnsi" w:cstheme="minorHAnsi"/>
          <w:bCs/>
          <w:sz w:val="22"/>
          <w:szCs w:val="22"/>
        </w:rPr>
        <w:t xml:space="preserve"> </w:t>
      </w:r>
      <w:r w:rsidRPr="005D761A">
        <w:rPr>
          <w:rFonts w:asciiTheme="minorHAnsi" w:hAnsiTheme="minorHAnsi" w:cstheme="minorHAnsi"/>
          <w:bCs/>
          <w:sz w:val="22"/>
          <w:szCs w:val="22"/>
        </w:rPr>
        <w:t>paragraphs 10 and 12</w:t>
      </w:r>
      <w:r>
        <w:rPr>
          <w:rFonts w:asciiTheme="minorHAnsi" w:hAnsiTheme="minorHAnsi" w:cstheme="minorHAnsi"/>
          <w:bCs/>
          <w:sz w:val="22"/>
          <w:szCs w:val="22"/>
        </w:rPr>
        <w:t xml:space="preserve">, </w:t>
      </w:r>
      <w:r w:rsidRPr="005D761A">
        <w:rPr>
          <w:rFonts w:asciiTheme="minorHAnsi" w:hAnsiTheme="minorHAnsi" w:cstheme="minorHAnsi"/>
          <w:bCs/>
          <w:color w:val="0070C0"/>
          <w:sz w:val="22"/>
          <w:szCs w:val="22"/>
        </w:rPr>
        <w:t>as amended</w:t>
      </w:r>
      <w:r>
        <w:rPr>
          <w:rFonts w:asciiTheme="minorHAnsi" w:hAnsiTheme="minorHAnsi" w:cstheme="minorHAnsi"/>
          <w:bCs/>
          <w:color w:val="0070C0"/>
          <w:sz w:val="22"/>
          <w:szCs w:val="22"/>
        </w:rPr>
        <w:t>.</w:t>
      </w:r>
    </w:p>
    <w:p w14:paraId="717D7FBD" w14:textId="77777777" w:rsidR="00C16F72" w:rsidRPr="006F7593" w:rsidRDefault="00C16F72" w:rsidP="00C16F72">
      <w:pPr>
        <w:pStyle w:val="Default"/>
        <w:rPr>
          <w:rFonts w:asciiTheme="minorHAnsi" w:hAnsiTheme="minorHAnsi" w:cstheme="minorHAnsi"/>
          <w:bCs/>
          <w:color w:val="2E74B5" w:themeColor="accent5" w:themeShade="BF"/>
          <w:sz w:val="16"/>
          <w:szCs w:val="16"/>
        </w:rPr>
      </w:pPr>
    </w:p>
    <w:p w14:paraId="769A7928" w14:textId="77777777" w:rsidR="00C16F72" w:rsidRDefault="00C16F72" w:rsidP="00C16F72">
      <w:pPr>
        <w:pStyle w:val="Default"/>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 xml:space="preserve">This proposed USSGL definition change clarifies that FASAB’s Technical Release 14, </w:t>
      </w:r>
      <w:r w:rsidRPr="00DF390F">
        <w:rPr>
          <w:rFonts w:asciiTheme="minorHAnsi" w:hAnsiTheme="minorHAnsi" w:cstheme="minorHAnsi"/>
          <w:bCs/>
          <w:i/>
          <w:iCs/>
          <w:sz w:val="22"/>
          <w:szCs w:val="22"/>
        </w:rPr>
        <w:t xml:space="preserve">“Implementation Guidance on the Accounting for the Disposal of General Property, Plant, and Equipment”, </w:t>
      </w:r>
      <w:r>
        <w:rPr>
          <w:rFonts w:asciiTheme="minorHAnsi" w:hAnsiTheme="minorHAnsi" w:cstheme="minorHAnsi"/>
          <w:bCs/>
          <w:i/>
          <w:iCs/>
          <w:sz w:val="22"/>
          <w:szCs w:val="22"/>
        </w:rPr>
        <w:t xml:space="preserve">Par. 10 </w:t>
      </w:r>
      <w:r w:rsidRPr="00DF390F">
        <w:rPr>
          <w:rFonts w:asciiTheme="minorHAnsi" w:hAnsiTheme="minorHAnsi" w:cstheme="minorHAnsi"/>
          <w:bCs/>
          <w:i/>
          <w:iCs/>
          <w:sz w:val="22"/>
          <w:szCs w:val="22"/>
        </w:rPr>
        <w:t>was amended by Technical Release 21, “Conforming Amendments”</w:t>
      </w:r>
      <w:r>
        <w:rPr>
          <w:rFonts w:asciiTheme="minorHAnsi" w:hAnsiTheme="minorHAnsi" w:cstheme="minorHAnsi"/>
          <w:bCs/>
          <w:i/>
          <w:iCs/>
          <w:sz w:val="22"/>
          <w:szCs w:val="22"/>
        </w:rPr>
        <w:t xml:space="preserve"> However, no changes to the use or reporting of SGL 199500 are required, as the amendment describes “other than permanently removed G-PP&amp;E.”</w:t>
      </w:r>
    </w:p>
    <w:p w14:paraId="6BAB4044" w14:textId="77777777" w:rsidR="001D789A" w:rsidRPr="00DF390F" w:rsidRDefault="001D789A" w:rsidP="00C16F72">
      <w:pPr>
        <w:pStyle w:val="Default"/>
        <w:rPr>
          <w:rFonts w:asciiTheme="minorHAnsi" w:hAnsiTheme="minorHAnsi" w:cstheme="minorHAnsi"/>
          <w:bCs/>
          <w:i/>
          <w:iCs/>
          <w:sz w:val="22"/>
          <w:szCs w:val="22"/>
        </w:rPr>
      </w:pPr>
    </w:p>
    <w:p w14:paraId="451CB253" w14:textId="77777777" w:rsidR="004A0C3A" w:rsidRDefault="004A0C3A" w:rsidP="00EB1BBD">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p>
    <w:p w14:paraId="60623989" w14:textId="409DFEED" w:rsidR="006F7593" w:rsidRPr="00776622" w:rsidRDefault="006F7593" w:rsidP="006F7593">
      <w:pPr>
        <w:jc w:val="center"/>
        <w:rPr>
          <w:rFonts w:cstheme="minorHAnsi"/>
          <w:b/>
          <w:bCs/>
          <w:sz w:val="28"/>
          <w:szCs w:val="28"/>
          <w:u w:val="single"/>
        </w:rPr>
      </w:pPr>
      <w:r w:rsidRPr="00C70A55">
        <w:rPr>
          <w:rFonts w:cstheme="minorHAnsi"/>
          <w:b/>
          <w:bCs/>
          <w:sz w:val="28"/>
          <w:szCs w:val="28"/>
          <w:u w:val="single"/>
        </w:rPr>
        <w:t xml:space="preserve">Proprietary </w:t>
      </w:r>
      <w:r>
        <w:rPr>
          <w:rFonts w:cstheme="minorHAnsi"/>
          <w:b/>
          <w:bCs/>
          <w:sz w:val="28"/>
          <w:szCs w:val="28"/>
          <w:u w:val="single"/>
        </w:rPr>
        <w:t>USSGL</w:t>
      </w:r>
      <w:r w:rsidRPr="00C70A55">
        <w:rPr>
          <w:rFonts w:cstheme="minorHAnsi"/>
          <w:b/>
          <w:bCs/>
          <w:sz w:val="28"/>
          <w:szCs w:val="28"/>
          <w:u w:val="single"/>
        </w:rPr>
        <w:t xml:space="preserve"> </w:t>
      </w:r>
      <w:r>
        <w:rPr>
          <w:rFonts w:cstheme="minorHAnsi"/>
          <w:b/>
          <w:bCs/>
          <w:sz w:val="28"/>
          <w:szCs w:val="28"/>
          <w:u w:val="single"/>
        </w:rPr>
        <w:t xml:space="preserve">Account </w:t>
      </w:r>
      <w:r w:rsidR="001D789A">
        <w:rPr>
          <w:rFonts w:cstheme="minorHAnsi"/>
          <w:b/>
          <w:bCs/>
          <w:sz w:val="28"/>
          <w:szCs w:val="28"/>
          <w:u w:val="single"/>
        </w:rPr>
        <w:t>Additions</w:t>
      </w:r>
      <w:r w:rsidRPr="00C70A55">
        <w:rPr>
          <w:rFonts w:cstheme="minorHAnsi"/>
          <w:b/>
          <w:bCs/>
          <w:sz w:val="28"/>
          <w:szCs w:val="28"/>
          <w:u w:val="single"/>
        </w:rPr>
        <w:t xml:space="preserve"> (</w:t>
      </w:r>
      <w:r>
        <w:rPr>
          <w:rFonts w:cstheme="minorHAnsi"/>
          <w:b/>
          <w:bCs/>
          <w:sz w:val="28"/>
          <w:szCs w:val="28"/>
          <w:u w:val="single"/>
        </w:rPr>
        <w:t xml:space="preserve">Effective </w:t>
      </w:r>
      <w:r w:rsidRPr="00C70A55">
        <w:rPr>
          <w:rFonts w:cstheme="minorHAnsi"/>
          <w:b/>
          <w:bCs/>
          <w:sz w:val="28"/>
          <w:szCs w:val="28"/>
          <w:u w:val="single"/>
        </w:rPr>
        <w:t>FY 202</w:t>
      </w:r>
      <w:r>
        <w:rPr>
          <w:rFonts w:cstheme="minorHAnsi"/>
          <w:b/>
          <w:bCs/>
          <w:sz w:val="28"/>
          <w:szCs w:val="28"/>
          <w:u w:val="single"/>
        </w:rPr>
        <w:t>7</w:t>
      </w:r>
      <w:r w:rsidRPr="00C70A55">
        <w:rPr>
          <w:rFonts w:cstheme="minorHAnsi"/>
          <w:b/>
          <w:bCs/>
          <w:sz w:val="28"/>
          <w:szCs w:val="28"/>
          <w:u w:val="single"/>
        </w:rPr>
        <w:t>)</w:t>
      </w:r>
    </w:p>
    <w:p w14:paraId="33461AF5" w14:textId="7A2E6738" w:rsidR="006F7593" w:rsidRPr="005C579F"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5C579F">
        <w:rPr>
          <w:rFonts w:asciiTheme="minorHAnsi" w:hAnsiTheme="minorHAnsi" w:cstheme="minorHAnsi"/>
          <w:b/>
          <w:color w:val="0070C0"/>
          <w:sz w:val="22"/>
          <w:szCs w:val="22"/>
        </w:rPr>
        <w:t>Account Title:</w:t>
      </w:r>
      <w:r w:rsidRPr="005C579F">
        <w:rPr>
          <w:rFonts w:asciiTheme="minorHAnsi" w:hAnsiTheme="minorHAnsi" w:cstheme="minorHAnsi"/>
          <w:bCs/>
          <w:color w:val="0070C0"/>
          <w:sz w:val="22"/>
          <w:szCs w:val="22"/>
        </w:rPr>
        <w:t xml:space="preserve"> </w:t>
      </w:r>
      <w:r w:rsidR="00384062" w:rsidRPr="00384062">
        <w:rPr>
          <w:rFonts w:asciiTheme="minorHAnsi" w:hAnsiTheme="minorHAnsi" w:cstheme="minorHAnsi"/>
          <w:bCs/>
          <w:color w:val="0070C0"/>
          <w:sz w:val="22"/>
          <w:szCs w:val="22"/>
        </w:rPr>
        <w:t>Unexpended Appropriations – Adjustments due to Permanent Reduction/Capital Transfer</w:t>
      </w:r>
    </w:p>
    <w:p w14:paraId="2384E8D8" w14:textId="77777777" w:rsidR="006F7593" w:rsidRPr="005C579F"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5C579F">
        <w:rPr>
          <w:rFonts w:asciiTheme="minorHAnsi" w:hAnsiTheme="minorHAnsi" w:cstheme="minorHAnsi"/>
          <w:b/>
          <w:color w:val="0070C0"/>
          <w:sz w:val="22"/>
          <w:szCs w:val="22"/>
        </w:rPr>
        <w:t>Account Number:</w:t>
      </w:r>
      <w:r w:rsidRPr="005C579F">
        <w:rPr>
          <w:rFonts w:asciiTheme="minorHAnsi" w:hAnsiTheme="minorHAnsi" w:cstheme="minorHAnsi"/>
          <w:bCs/>
          <w:color w:val="0070C0"/>
          <w:sz w:val="22"/>
          <w:szCs w:val="22"/>
        </w:rPr>
        <w:t xml:space="preserve"> 3</w:t>
      </w:r>
      <w:r>
        <w:rPr>
          <w:rFonts w:asciiTheme="minorHAnsi" w:hAnsiTheme="minorHAnsi" w:cstheme="minorHAnsi"/>
          <w:bCs/>
          <w:color w:val="0070C0"/>
          <w:sz w:val="22"/>
          <w:szCs w:val="22"/>
        </w:rPr>
        <w:t>1</w:t>
      </w:r>
      <w:r w:rsidRPr="005C579F">
        <w:rPr>
          <w:rFonts w:asciiTheme="minorHAnsi" w:hAnsiTheme="minorHAnsi" w:cstheme="minorHAnsi"/>
          <w:bCs/>
          <w:color w:val="0070C0"/>
          <w:sz w:val="22"/>
          <w:szCs w:val="22"/>
        </w:rPr>
        <w:t>0</w:t>
      </w:r>
      <w:r>
        <w:rPr>
          <w:rFonts w:asciiTheme="minorHAnsi" w:hAnsiTheme="minorHAnsi" w:cstheme="minorHAnsi"/>
          <w:bCs/>
          <w:color w:val="0070C0"/>
          <w:sz w:val="22"/>
          <w:szCs w:val="22"/>
        </w:rPr>
        <w:t>61</w:t>
      </w:r>
      <w:r w:rsidRPr="005C579F">
        <w:rPr>
          <w:rFonts w:asciiTheme="minorHAnsi" w:hAnsiTheme="minorHAnsi" w:cstheme="minorHAnsi"/>
          <w:bCs/>
          <w:color w:val="0070C0"/>
          <w:sz w:val="22"/>
          <w:szCs w:val="22"/>
        </w:rPr>
        <w:t>0</w:t>
      </w:r>
    </w:p>
    <w:p w14:paraId="3CE57704" w14:textId="77777777" w:rsidR="006F7593" w:rsidRPr="005C579F"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5C579F">
        <w:rPr>
          <w:rFonts w:asciiTheme="minorHAnsi" w:hAnsiTheme="minorHAnsi" w:cstheme="minorHAnsi"/>
          <w:b/>
          <w:color w:val="0070C0"/>
          <w:sz w:val="22"/>
          <w:szCs w:val="22"/>
        </w:rPr>
        <w:t>Normal Balance:</w:t>
      </w:r>
      <w:r w:rsidRPr="005C579F">
        <w:rPr>
          <w:rFonts w:asciiTheme="minorHAnsi" w:hAnsiTheme="minorHAnsi" w:cstheme="minorHAnsi"/>
          <w:bCs/>
          <w:color w:val="0070C0"/>
          <w:sz w:val="22"/>
          <w:szCs w:val="22"/>
        </w:rPr>
        <w:t xml:space="preserve"> </w:t>
      </w:r>
      <w:r w:rsidRPr="004A0C3A">
        <w:rPr>
          <w:rFonts w:asciiTheme="minorHAnsi" w:hAnsiTheme="minorHAnsi" w:cstheme="minorHAnsi"/>
          <w:bCs/>
          <w:color w:val="0070C0"/>
          <w:sz w:val="22"/>
          <w:szCs w:val="22"/>
        </w:rPr>
        <w:t>Debit</w:t>
      </w:r>
    </w:p>
    <w:p w14:paraId="7A20E321" w14:textId="77777777" w:rsidR="007E21E0" w:rsidRDefault="007E21E0" w:rsidP="007E21E0">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r w:rsidRPr="005C579F">
        <w:rPr>
          <w:rFonts w:asciiTheme="minorHAnsi" w:hAnsiTheme="minorHAnsi" w:cstheme="minorHAnsi"/>
          <w:b/>
          <w:color w:val="0070C0"/>
          <w:sz w:val="22"/>
          <w:szCs w:val="22"/>
        </w:rPr>
        <w:t>Definition:</w:t>
      </w:r>
      <w:r w:rsidRPr="005C579F">
        <w:rPr>
          <w:rFonts w:asciiTheme="minorHAnsi" w:hAnsiTheme="minorHAnsi" w:cstheme="minorHAnsi"/>
          <w:bCs/>
          <w:color w:val="0070C0"/>
          <w:sz w:val="22"/>
          <w:szCs w:val="22"/>
        </w:rPr>
        <w:t xml:space="preserve"> </w:t>
      </w:r>
      <w:r w:rsidRPr="004A0C3A">
        <w:rPr>
          <w:rFonts w:asciiTheme="minorHAnsi" w:hAnsiTheme="minorHAnsi" w:cstheme="minorHAnsi"/>
          <w:bCs/>
          <w:color w:val="0070C0"/>
          <w:sz w:val="22"/>
          <w:szCs w:val="22"/>
        </w:rPr>
        <w:t xml:space="preserve">This account is used to record the </w:t>
      </w:r>
      <w:proofErr w:type="gramStart"/>
      <w:r w:rsidRPr="004A0C3A">
        <w:rPr>
          <w:rFonts w:asciiTheme="minorHAnsi" w:hAnsiTheme="minorHAnsi" w:cstheme="minorHAnsi"/>
          <w:bCs/>
          <w:color w:val="0070C0"/>
          <w:sz w:val="22"/>
          <w:szCs w:val="22"/>
        </w:rPr>
        <w:t>amount</w:t>
      </w:r>
      <w:proofErr w:type="gramEnd"/>
      <w:r w:rsidRPr="004A0C3A">
        <w:rPr>
          <w:rFonts w:asciiTheme="minorHAnsi" w:hAnsiTheme="minorHAnsi" w:cstheme="minorHAnsi"/>
          <w:bCs/>
          <w:color w:val="0070C0"/>
          <w:sz w:val="22"/>
          <w:szCs w:val="22"/>
        </w:rPr>
        <w:t xml:space="preserve"> of adjustments during the fiscal year to unexpended appropriations </w:t>
      </w:r>
      <w:r w:rsidRPr="00615289">
        <w:rPr>
          <w:rFonts w:asciiTheme="minorHAnsi" w:hAnsiTheme="minorHAnsi" w:cstheme="minorHAnsi"/>
          <w:bCs/>
          <w:color w:val="0070C0"/>
          <w:sz w:val="22"/>
          <w:szCs w:val="22"/>
        </w:rPr>
        <w:t>from current or prior years</w:t>
      </w:r>
      <w:r>
        <w:rPr>
          <w:rFonts w:asciiTheme="minorHAnsi" w:hAnsiTheme="minorHAnsi" w:cstheme="minorHAnsi"/>
          <w:bCs/>
          <w:color w:val="0070C0"/>
          <w:sz w:val="22"/>
          <w:szCs w:val="22"/>
        </w:rPr>
        <w:t xml:space="preserve"> due to permanent reduction of budgetary resources derived from the General Fund of the U.S. Government and funds returned via a capital transfer to a General Fund Receipt Account. </w:t>
      </w:r>
      <w:r w:rsidRPr="004A0C3A">
        <w:rPr>
          <w:rFonts w:asciiTheme="minorHAnsi" w:hAnsiTheme="minorHAnsi" w:cstheme="minorHAnsi"/>
          <w:bCs/>
          <w:color w:val="0070C0"/>
          <w:sz w:val="22"/>
          <w:szCs w:val="22"/>
        </w:rPr>
        <w:t xml:space="preserve">Although the normal balance for this account is debit, it is acceptable in certain instances for this account to have a credit balance.  </w:t>
      </w:r>
    </w:p>
    <w:p w14:paraId="71965375" w14:textId="77777777" w:rsidR="006F7593"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p>
    <w:p w14:paraId="2F0C9C00" w14:textId="77777777" w:rsidR="006F7593" w:rsidRPr="00DF390F" w:rsidRDefault="006F7593" w:rsidP="006F7593">
      <w:pPr>
        <w:pStyle w:val="Default"/>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A new Business Event Type Code (BETC) will be created effective FY27 to allow agencies and the General Fund of the U.S. Government to distinguish capital transfer activity from other adjustments and to properly record appropriations when they are reduced. Proposed SGL 310610 will capture appropriation adjustments strictly related to recission and capital transfers. A new BETC with a budgetary and proprietary SGL offers a 1:1 ratio between CARS reporting and financial reporting.</w:t>
      </w:r>
    </w:p>
    <w:p w14:paraId="11C98671" w14:textId="77777777" w:rsidR="006F7593"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p>
    <w:p w14:paraId="7B3759BD" w14:textId="77777777" w:rsidR="006F7593"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p>
    <w:p w14:paraId="157AACD0" w14:textId="77777777" w:rsidR="006F7593" w:rsidRPr="00C70A55" w:rsidRDefault="006F7593" w:rsidP="006F7593">
      <w:pPr>
        <w:jc w:val="center"/>
        <w:rPr>
          <w:rFonts w:cstheme="minorHAnsi"/>
          <w:b/>
          <w:bCs/>
          <w:sz w:val="28"/>
          <w:szCs w:val="28"/>
          <w:u w:val="single"/>
        </w:rPr>
      </w:pPr>
      <w:r w:rsidRPr="00C70A55">
        <w:rPr>
          <w:rFonts w:cstheme="minorHAnsi"/>
          <w:b/>
          <w:bCs/>
          <w:sz w:val="28"/>
          <w:szCs w:val="28"/>
          <w:u w:val="single"/>
        </w:rPr>
        <w:t xml:space="preserve">Proprietary </w:t>
      </w:r>
      <w:r>
        <w:rPr>
          <w:rFonts w:cstheme="minorHAnsi"/>
          <w:b/>
          <w:bCs/>
          <w:sz w:val="28"/>
          <w:szCs w:val="28"/>
          <w:u w:val="single"/>
        </w:rPr>
        <w:t>USSGL</w:t>
      </w:r>
      <w:r w:rsidRPr="00C70A55">
        <w:rPr>
          <w:rFonts w:cstheme="minorHAnsi"/>
          <w:b/>
          <w:bCs/>
          <w:sz w:val="28"/>
          <w:szCs w:val="28"/>
          <w:u w:val="single"/>
        </w:rPr>
        <w:t xml:space="preserve"> </w:t>
      </w:r>
      <w:r>
        <w:rPr>
          <w:rFonts w:cstheme="minorHAnsi"/>
          <w:b/>
          <w:bCs/>
          <w:sz w:val="28"/>
          <w:szCs w:val="28"/>
          <w:u w:val="single"/>
        </w:rPr>
        <w:t>Account Definition Modifications</w:t>
      </w:r>
      <w:r w:rsidRPr="00C70A55">
        <w:rPr>
          <w:rFonts w:cstheme="minorHAnsi"/>
          <w:b/>
          <w:bCs/>
          <w:sz w:val="28"/>
          <w:szCs w:val="28"/>
          <w:u w:val="single"/>
        </w:rPr>
        <w:t xml:space="preserve"> (</w:t>
      </w:r>
      <w:r>
        <w:rPr>
          <w:rFonts w:cstheme="minorHAnsi"/>
          <w:b/>
          <w:bCs/>
          <w:sz w:val="28"/>
          <w:szCs w:val="28"/>
          <w:u w:val="single"/>
        </w:rPr>
        <w:t xml:space="preserve">Effective </w:t>
      </w:r>
      <w:r w:rsidRPr="00C70A55">
        <w:rPr>
          <w:rFonts w:cstheme="minorHAnsi"/>
          <w:b/>
          <w:bCs/>
          <w:sz w:val="28"/>
          <w:szCs w:val="28"/>
          <w:u w:val="single"/>
        </w:rPr>
        <w:t>FY 202</w:t>
      </w:r>
      <w:r>
        <w:rPr>
          <w:rFonts w:cstheme="minorHAnsi"/>
          <w:b/>
          <w:bCs/>
          <w:sz w:val="28"/>
          <w:szCs w:val="28"/>
          <w:u w:val="single"/>
        </w:rPr>
        <w:t>7</w:t>
      </w:r>
      <w:r w:rsidRPr="00C70A55">
        <w:rPr>
          <w:rFonts w:cstheme="minorHAnsi"/>
          <w:b/>
          <w:bCs/>
          <w:sz w:val="28"/>
          <w:szCs w:val="28"/>
          <w:u w:val="single"/>
        </w:rPr>
        <w:t>)</w:t>
      </w:r>
    </w:p>
    <w:p w14:paraId="1E445280" w14:textId="77777777" w:rsidR="006F7593"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i/>
          <w:iCs/>
          <w:sz w:val="22"/>
          <w:szCs w:val="22"/>
        </w:rPr>
      </w:pPr>
    </w:p>
    <w:p w14:paraId="3E1DAF0C" w14:textId="77777777" w:rsidR="006F7593" w:rsidRPr="0006509C"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06509C">
        <w:rPr>
          <w:rFonts w:asciiTheme="minorHAnsi" w:hAnsiTheme="minorHAnsi" w:cstheme="minorHAnsi"/>
          <w:b/>
          <w:sz w:val="22"/>
          <w:szCs w:val="22"/>
        </w:rPr>
        <w:t>Account Title:</w:t>
      </w:r>
      <w:r w:rsidRPr="0006509C">
        <w:rPr>
          <w:rFonts w:asciiTheme="minorHAnsi" w:hAnsiTheme="minorHAnsi" w:cstheme="minorHAnsi"/>
          <w:bCs/>
          <w:sz w:val="22"/>
          <w:szCs w:val="22"/>
        </w:rPr>
        <w:t xml:space="preserve"> Unexpended Appropriations - Adjustments</w:t>
      </w:r>
    </w:p>
    <w:p w14:paraId="13D14231" w14:textId="77777777" w:rsidR="006F7593" w:rsidRPr="0006509C"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06509C">
        <w:rPr>
          <w:rFonts w:asciiTheme="minorHAnsi" w:hAnsiTheme="minorHAnsi" w:cstheme="minorHAnsi"/>
          <w:b/>
          <w:sz w:val="22"/>
          <w:szCs w:val="22"/>
        </w:rPr>
        <w:t>Account Number:</w:t>
      </w:r>
      <w:r w:rsidRPr="0006509C">
        <w:rPr>
          <w:rFonts w:asciiTheme="minorHAnsi" w:hAnsiTheme="minorHAnsi" w:cstheme="minorHAnsi"/>
          <w:bCs/>
          <w:sz w:val="22"/>
          <w:szCs w:val="22"/>
        </w:rPr>
        <w:t xml:space="preserve"> 310600 </w:t>
      </w:r>
    </w:p>
    <w:p w14:paraId="5DE51BAE" w14:textId="77777777" w:rsidR="006F7593" w:rsidRPr="0006509C"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06509C">
        <w:rPr>
          <w:rFonts w:asciiTheme="minorHAnsi" w:hAnsiTheme="minorHAnsi" w:cstheme="minorHAnsi"/>
          <w:b/>
          <w:sz w:val="22"/>
          <w:szCs w:val="22"/>
        </w:rPr>
        <w:t>Normal Balance:</w:t>
      </w:r>
      <w:r w:rsidRPr="0006509C">
        <w:rPr>
          <w:rFonts w:asciiTheme="minorHAnsi" w:hAnsiTheme="minorHAnsi" w:cstheme="minorHAnsi"/>
          <w:bCs/>
          <w:sz w:val="22"/>
          <w:szCs w:val="22"/>
        </w:rPr>
        <w:t xml:space="preserve"> Debit</w:t>
      </w:r>
    </w:p>
    <w:p w14:paraId="34C0520B" w14:textId="1CFB459B" w:rsidR="007E21E0" w:rsidRPr="0006509C" w:rsidRDefault="007E21E0" w:rsidP="007E21E0">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r w:rsidRPr="0006509C">
        <w:rPr>
          <w:rFonts w:asciiTheme="minorHAnsi" w:hAnsiTheme="minorHAnsi" w:cstheme="minorHAnsi"/>
          <w:b/>
          <w:sz w:val="22"/>
          <w:szCs w:val="22"/>
        </w:rPr>
        <w:t>Definition:</w:t>
      </w:r>
      <w:r w:rsidRPr="0006509C">
        <w:rPr>
          <w:rFonts w:asciiTheme="minorHAnsi" w:hAnsiTheme="minorHAnsi" w:cstheme="minorHAnsi"/>
          <w:bCs/>
          <w:sz w:val="22"/>
          <w:szCs w:val="22"/>
        </w:rPr>
        <w:t xml:space="preserve"> This account is used to record the </w:t>
      </w:r>
      <w:proofErr w:type="gramStart"/>
      <w:r w:rsidRPr="0006509C">
        <w:rPr>
          <w:rFonts w:asciiTheme="minorHAnsi" w:hAnsiTheme="minorHAnsi" w:cstheme="minorHAnsi"/>
          <w:bCs/>
          <w:sz w:val="22"/>
          <w:szCs w:val="22"/>
        </w:rPr>
        <w:t>amount</w:t>
      </w:r>
      <w:proofErr w:type="gramEnd"/>
      <w:r w:rsidRPr="0006509C">
        <w:rPr>
          <w:rFonts w:asciiTheme="minorHAnsi" w:hAnsiTheme="minorHAnsi" w:cstheme="minorHAnsi"/>
          <w:bCs/>
          <w:sz w:val="22"/>
          <w:szCs w:val="22"/>
        </w:rPr>
        <w:t xml:space="preserve"> of adjustments during the fiscal year to unexpended appropriations from current or prior years. Examples of adjustments include </w:t>
      </w:r>
      <w:r w:rsidRPr="00AD0A15">
        <w:rPr>
          <w:rFonts w:asciiTheme="minorHAnsi" w:hAnsiTheme="minorHAnsi" w:cstheme="minorHAnsi"/>
          <w:bCs/>
          <w:strike/>
          <w:color w:val="FF0000"/>
          <w:sz w:val="22"/>
          <w:szCs w:val="22"/>
        </w:rPr>
        <w:t>rescissions, and</w:t>
      </w:r>
      <w:r w:rsidRPr="00AD0A15">
        <w:rPr>
          <w:rFonts w:asciiTheme="minorHAnsi" w:hAnsiTheme="minorHAnsi" w:cstheme="minorHAnsi"/>
          <w:bCs/>
          <w:color w:val="FF0000"/>
          <w:sz w:val="22"/>
          <w:szCs w:val="22"/>
        </w:rPr>
        <w:t xml:space="preserve"> </w:t>
      </w:r>
      <w:r w:rsidRPr="0006509C">
        <w:rPr>
          <w:rFonts w:asciiTheme="minorHAnsi" w:hAnsiTheme="minorHAnsi" w:cstheme="minorHAnsi"/>
          <w:bCs/>
          <w:sz w:val="22"/>
          <w:szCs w:val="22"/>
        </w:rPr>
        <w:t>cancellations of expired appropriations</w:t>
      </w:r>
      <w:r>
        <w:rPr>
          <w:rFonts w:asciiTheme="minorHAnsi" w:hAnsiTheme="minorHAnsi" w:cstheme="minorHAnsi"/>
          <w:bCs/>
          <w:sz w:val="22"/>
          <w:szCs w:val="22"/>
        </w:rPr>
        <w:t xml:space="preserve"> </w:t>
      </w:r>
      <w:r w:rsidRPr="007E21E0">
        <w:rPr>
          <w:rFonts w:asciiTheme="minorHAnsi" w:hAnsiTheme="minorHAnsi" w:cstheme="minorHAnsi"/>
          <w:bCs/>
          <w:color w:val="0070C0"/>
          <w:sz w:val="22"/>
          <w:szCs w:val="22"/>
        </w:rPr>
        <w:t xml:space="preserve">and some types of </w:t>
      </w:r>
      <w:r w:rsidR="00384062">
        <w:rPr>
          <w:rFonts w:asciiTheme="minorHAnsi" w:hAnsiTheme="minorHAnsi" w:cstheme="minorHAnsi"/>
          <w:bCs/>
          <w:color w:val="0070C0"/>
          <w:sz w:val="22"/>
          <w:szCs w:val="22"/>
        </w:rPr>
        <w:t>permanent reductions</w:t>
      </w:r>
      <w:r w:rsidRPr="007E21E0">
        <w:rPr>
          <w:rFonts w:asciiTheme="minorHAnsi" w:hAnsiTheme="minorHAnsi" w:cstheme="minorHAnsi"/>
          <w:bCs/>
          <w:color w:val="0070C0"/>
          <w:sz w:val="22"/>
          <w:szCs w:val="22"/>
        </w:rPr>
        <w:t xml:space="preserve"> (for appropriation adjustments due to permanent reduction of budgetary resources derived from the General Fund of the U.S. Government and funds returned via a capital transfer to a General Fund Receipt Account, use SGL 310610 instead). </w:t>
      </w:r>
      <w:r w:rsidRPr="0006509C">
        <w:rPr>
          <w:rFonts w:asciiTheme="minorHAnsi" w:hAnsiTheme="minorHAnsi" w:cstheme="minorHAnsi"/>
          <w:bCs/>
          <w:sz w:val="22"/>
          <w:szCs w:val="22"/>
        </w:rPr>
        <w:t>Although the normal balance for this account is debit, it is acceptable in certain instances for this account to have a credit balance.</w:t>
      </w:r>
    </w:p>
    <w:p w14:paraId="42C1C9EE" w14:textId="77777777" w:rsidR="006F7593" w:rsidRPr="004A0C3A" w:rsidRDefault="006F7593" w:rsidP="006F7593">
      <w:pPr>
        <w:pStyle w:val="PlainText"/>
        <w:keepNext/>
        <w:keepLines/>
        <w:tabs>
          <w:tab w:val="left" w:pos="660"/>
          <w:tab w:val="left" w:pos="1840"/>
          <w:tab w:val="left" w:pos="2940"/>
          <w:tab w:val="left" w:pos="3140"/>
        </w:tabs>
        <w:jc w:val="both"/>
        <w:rPr>
          <w:rFonts w:asciiTheme="minorHAnsi" w:hAnsiTheme="minorHAnsi" w:cstheme="minorHAnsi"/>
          <w:bCs/>
          <w:sz w:val="22"/>
          <w:szCs w:val="22"/>
        </w:rPr>
      </w:pPr>
    </w:p>
    <w:p w14:paraId="1F6C7A9E" w14:textId="77777777" w:rsidR="006F7593" w:rsidRPr="00DF390F" w:rsidRDefault="006F7593" w:rsidP="006F7593">
      <w:pPr>
        <w:pStyle w:val="Default"/>
        <w:rPr>
          <w:rFonts w:asciiTheme="minorHAnsi" w:hAnsiTheme="minorHAnsi" w:cstheme="minorHAnsi"/>
          <w:bCs/>
          <w:i/>
          <w:iCs/>
          <w:sz w:val="22"/>
          <w:szCs w:val="22"/>
        </w:rPr>
      </w:pPr>
      <w:r>
        <w:rPr>
          <w:rFonts w:asciiTheme="minorHAnsi" w:hAnsiTheme="minorHAnsi" w:cstheme="minorHAnsi"/>
          <w:b/>
          <w:sz w:val="22"/>
          <w:szCs w:val="22"/>
        </w:rPr>
        <w:t xml:space="preserve">Justification: </w:t>
      </w:r>
      <w:r>
        <w:rPr>
          <w:rFonts w:asciiTheme="minorHAnsi" w:hAnsiTheme="minorHAnsi" w:cstheme="minorHAnsi"/>
          <w:bCs/>
          <w:i/>
          <w:iCs/>
          <w:sz w:val="22"/>
          <w:szCs w:val="22"/>
        </w:rPr>
        <w:t>A new Business Event Type Code (BETC) will be created effective FY27 to allow agencies and the General Fund of the U.S. Government to distinguish capital transfer activity from other adjustments and to properly record appropriations when they are reduced. Proposed SGL 310610 will capture appropriation adjustments strictly related to recission and capital transfers. A new BETC with a budgetary and proprietary SGL offers a 1:1 ratio between CARS reporting and financial reporting.</w:t>
      </w:r>
    </w:p>
    <w:p w14:paraId="1FA8B9FF" w14:textId="77777777" w:rsidR="006F7593" w:rsidRDefault="006F7593" w:rsidP="006F7593">
      <w:pPr>
        <w:jc w:val="center"/>
        <w:rPr>
          <w:rFonts w:cstheme="minorHAnsi"/>
          <w:b/>
          <w:bCs/>
          <w:sz w:val="28"/>
          <w:szCs w:val="28"/>
          <w:u w:val="single"/>
        </w:rPr>
      </w:pPr>
    </w:p>
    <w:p w14:paraId="501F6B3F" w14:textId="77777777" w:rsidR="006F7593" w:rsidRPr="005C579F" w:rsidRDefault="006F7593" w:rsidP="00EB1BBD">
      <w:pPr>
        <w:pStyle w:val="PlainText"/>
        <w:keepNext/>
        <w:keepLines/>
        <w:tabs>
          <w:tab w:val="left" w:pos="660"/>
          <w:tab w:val="left" w:pos="1840"/>
          <w:tab w:val="left" w:pos="2940"/>
          <w:tab w:val="left" w:pos="3140"/>
        </w:tabs>
        <w:jc w:val="both"/>
        <w:rPr>
          <w:rFonts w:asciiTheme="minorHAnsi" w:hAnsiTheme="minorHAnsi" w:cstheme="minorHAnsi"/>
          <w:bCs/>
          <w:color w:val="0070C0"/>
          <w:sz w:val="22"/>
          <w:szCs w:val="22"/>
        </w:rPr>
      </w:pPr>
    </w:p>
    <w:sectPr w:rsidR="006F7593" w:rsidRPr="005C579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CD7B4" w14:textId="77777777" w:rsidR="00745D48" w:rsidRDefault="00745D48" w:rsidP="00745D48">
      <w:pPr>
        <w:spacing w:after="0" w:line="240" w:lineRule="auto"/>
      </w:pPr>
      <w:r>
        <w:separator/>
      </w:r>
    </w:p>
  </w:endnote>
  <w:endnote w:type="continuationSeparator" w:id="0">
    <w:p w14:paraId="04356A80" w14:textId="77777777" w:rsidR="00745D48" w:rsidRDefault="00745D48" w:rsidP="0074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24907"/>
      <w:docPartObj>
        <w:docPartGallery w:val="Page Numbers (Bottom of Page)"/>
        <w:docPartUnique/>
      </w:docPartObj>
    </w:sdtPr>
    <w:sdtEndPr/>
    <w:sdtContent>
      <w:sdt>
        <w:sdtPr>
          <w:id w:val="1728636285"/>
          <w:docPartObj>
            <w:docPartGallery w:val="Page Numbers (Top of Page)"/>
            <w:docPartUnique/>
          </w:docPartObj>
        </w:sdtPr>
        <w:sdtEndPr/>
        <w:sdtContent>
          <w:p w14:paraId="59309C2C" w14:textId="73F031B1" w:rsidR="00745D48" w:rsidRDefault="00745D48" w:rsidP="00745D4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t xml:space="preserve">                                       </w:t>
            </w:r>
            <w:r w:rsidR="006024F8">
              <w:t xml:space="preserve">  </w:t>
            </w:r>
            <w:r w:rsidRPr="00745D48">
              <w:rPr>
                <w:b/>
                <w:bCs/>
              </w:rPr>
              <w:t xml:space="preserve">IRC Handout </w:t>
            </w:r>
            <w:r w:rsidR="000A6C31">
              <w:rPr>
                <w:b/>
                <w:bCs/>
              </w:rPr>
              <w:t>April</w:t>
            </w:r>
            <w:r w:rsidR="00C472DD">
              <w:rPr>
                <w:b/>
                <w:bCs/>
              </w:rPr>
              <w:t xml:space="preserve"> </w:t>
            </w:r>
            <w:r w:rsidR="00934B1F">
              <w:rPr>
                <w:b/>
                <w:bCs/>
              </w:rPr>
              <w:t>202</w:t>
            </w:r>
            <w:r w:rsidR="00A77608">
              <w:rPr>
                <w:b/>
                <w:bCs/>
              </w:rPr>
              <w:t>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05177" w14:textId="77777777" w:rsidR="00745D48" w:rsidRDefault="00745D48" w:rsidP="00745D48">
      <w:pPr>
        <w:spacing w:after="0" w:line="240" w:lineRule="auto"/>
      </w:pPr>
      <w:r>
        <w:separator/>
      </w:r>
    </w:p>
  </w:footnote>
  <w:footnote w:type="continuationSeparator" w:id="0">
    <w:p w14:paraId="78F93FB1" w14:textId="77777777" w:rsidR="00745D48" w:rsidRDefault="00745D48" w:rsidP="0074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818670"/>
      <w:docPartObj>
        <w:docPartGallery w:val="Watermarks"/>
        <w:docPartUnique/>
      </w:docPartObj>
    </w:sdtPr>
    <w:sdtEndPr/>
    <w:sdtContent>
      <w:p w14:paraId="4315AFAC" w14:textId="6C7983B8" w:rsidR="0025780A" w:rsidRDefault="001D789A">
        <w:pPr>
          <w:pStyle w:val="Header"/>
        </w:pPr>
        <w:r>
          <w:rPr>
            <w:noProof/>
          </w:rPr>
          <w:pict w14:anchorId="18AE4C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A70"/>
    <w:multiLevelType w:val="hybridMultilevel"/>
    <w:tmpl w:val="AD0AC4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7D4960"/>
    <w:multiLevelType w:val="hybridMultilevel"/>
    <w:tmpl w:val="3B0810DC"/>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47F73"/>
    <w:multiLevelType w:val="hybridMultilevel"/>
    <w:tmpl w:val="A1245F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745615">
    <w:abstractNumId w:val="0"/>
  </w:num>
  <w:num w:numId="2" w16cid:durableId="593634533">
    <w:abstractNumId w:val="1"/>
  </w:num>
  <w:num w:numId="3" w16cid:durableId="4351804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182"/>
    <w:rsid w:val="00060BF1"/>
    <w:rsid w:val="000644F9"/>
    <w:rsid w:val="0006509C"/>
    <w:rsid w:val="00086B3E"/>
    <w:rsid w:val="000873C6"/>
    <w:rsid w:val="000A0A31"/>
    <w:rsid w:val="000A15C0"/>
    <w:rsid w:val="000A45BE"/>
    <w:rsid w:val="000A50A9"/>
    <w:rsid w:val="000A6C31"/>
    <w:rsid w:val="000C10C6"/>
    <w:rsid w:val="000C1D4B"/>
    <w:rsid w:val="000C3497"/>
    <w:rsid w:val="000F31FD"/>
    <w:rsid w:val="000F7105"/>
    <w:rsid w:val="0010080F"/>
    <w:rsid w:val="001129DF"/>
    <w:rsid w:val="001324E6"/>
    <w:rsid w:val="001518A5"/>
    <w:rsid w:val="00171D5D"/>
    <w:rsid w:val="00177DAC"/>
    <w:rsid w:val="001B0A18"/>
    <w:rsid w:val="001B470A"/>
    <w:rsid w:val="001D2FAF"/>
    <w:rsid w:val="001D789A"/>
    <w:rsid w:val="001E68DF"/>
    <w:rsid w:val="001F64C5"/>
    <w:rsid w:val="001F6BC0"/>
    <w:rsid w:val="002024E2"/>
    <w:rsid w:val="00204A8A"/>
    <w:rsid w:val="00207FDA"/>
    <w:rsid w:val="00211F8B"/>
    <w:rsid w:val="0025780A"/>
    <w:rsid w:val="00261747"/>
    <w:rsid w:val="00284113"/>
    <w:rsid w:val="00292A0C"/>
    <w:rsid w:val="002949C4"/>
    <w:rsid w:val="002B00EE"/>
    <w:rsid w:val="002B301B"/>
    <w:rsid w:val="002C7885"/>
    <w:rsid w:val="002D6E49"/>
    <w:rsid w:val="002F3C0E"/>
    <w:rsid w:val="00311177"/>
    <w:rsid w:val="0031300B"/>
    <w:rsid w:val="00343BB0"/>
    <w:rsid w:val="00347695"/>
    <w:rsid w:val="0035338E"/>
    <w:rsid w:val="0035407F"/>
    <w:rsid w:val="00364313"/>
    <w:rsid w:val="00364CA1"/>
    <w:rsid w:val="00381CE8"/>
    <w:rsid w:val="00381E50"/>
    <w:rsid w:val="00383A13"/>
    <w:rsid w:val="00384062"/>
    <w:rsid w:val="00396564"/>
    <w:rsid w:val="003A054A"/>
    <w:rsid w:val="003A0A58"/>
    <w:rsid w:val="003A3165"/>
    <w:rsid w:val="003A759C"/>
    <w:rsid w:val="003B675E"/>
    <w:rsid w:val="003C711F"/>
    <w:rsid w:val="003E7E5B"/>
    <w:rsid w:val="003F2474"/>
    <w:rsid w:val="00403CC8"/>
    <w:rsid w:val="00412312"/>
    <w:rsid w:val="0041400B"/>
    <w:rsid w:val="0042121C"/>
    <w:rsid w:val="004301FD"/>
    <w:rsid w:val="00430DFE"/>
    <w:rsid w:val="00441236"/>
    <w:rsid w:val="00451EC7"/>
    <w:rsid w:val="0048216D"/>
    <w:rsid w:val="004A0C3A"/>
    <w:rsid w:val="004A12DE"/>
    <w:rsid w:val="004B131E"/>
    <w:rsid w:val="004C564A"/>
    <w:rsid w:val="004D1AF9"/>
    <w:rsid w:val="004E5C10"/>
    <w:rsid w:val="004E64BD"/>
    <w:rsid w:val="0052060A"/>
    <w:rsid w:val="00521E33"/>
    <w:rsid w:val="00522642"/>
    <w:rsid w:val="0053665C"/>
    <w:rsid w:val="00536DAC"/>
    <w:rsid w:val="00554987"/>
    <w:rsid w:val="00587433"/>
    <w:rsid w:val="00595EA9"/>
    <w:rsid w:val="005A0887"/>
    <w:rsid w:val="005A6077"/>
    <w:rsid w:val="005B4AE9"/>
    <w:rsid w:val="005C3E4F"/>
    <w:rsid w:val="005C579F"/>
    <w:rsid w:val="005C5F08"/>
    <w:rsid w:val="005D53D6"/>
    <w:rsid w:val="005D761A"/>
    <w:rsid w:val="005F0518"/>
    <w:rsid w:val="006024F8"/>
    <w:rsid w:val="0061370D"/>
    <w:rsid w:val="006363F6"/>
    <w:rsid w:val="00637C90"/>
    <w:rsid w:val="00641368"/>
    <w:rsid w:val="0064564D"/>
    <w:rsid w:val="00651C3F"/>
    <w:rsid w:val="00651FF5"/>
    <w:rsid w:val="00657269"/>
    <w:rsid w:val="006641E9"/>
    <w:rsid w:val="00665DAB"/>
    <w:rsid w:val="0069597E"/>
    <w:rsid w:val="0069663B"/>
    <w:rsid w:val="006E088B"/>
    <w:rsid w:val="006F6AB0"/>
    <w:rsid w:val="006F7593"/>
    <w:rsid w:val="007052F7"/>
    <w:rsid w:val="007250FD"/>
    <w:rsid w:val="0072601F"/>
    <w:rsid w:val="00731533"/>
    <w:rsid w:val="007320E3"/>
    <w:rsid w:val="00734409"/>
    <w:rsid w:val="007440DC"/>
    <w:rsid w:val="00745D48"/>
    <w:rsid w:val="0075009C"/>
    <w:rsid w:val="00750892"/>
    <w:rsid w:val="007636AF"/>
    <w:rsid w:val="007673FB"/>
    <w:rsid w:val="00776622"/>
    <w:rsid w:val="007C4587"/>
    <w:rsid w:val="007E21E0"/>
    <w:rsid w:val="007E3BE0"/>
    <w:rsid w:val="007E531A"/>
    <w:rsid w:val="007E7815"/>
    <w:rsid w:val="007E7CFB"/>
    <w:rsid w:val="007F2D4D"/>
    <w:rsid w:val="007F337A"/>
    <w:rsid w:val="00800998"/>
    <w:rsid w:val="00801649"/>
    <w:rsid w:val="00807E0C"/>
    <w:rsid w:val="0081279B"/>
    <w:rsid w:val="0081530E"/>
    <w:rsid w:val="0082203E"/>
    <w:rsid w:val="0082627A"/>
    <w:rsid w:val="00846766"/>
    <w:rsid w:val="0086118D"/>
    <w:rsid w:val="00865DC3"/>
    <w:rsid w:val="00867254"/>
    <w:rsid w:val="00872495"/>
    <w:rsid w:val="00874962"/>
    <w:rsid w:val="00886334"/>
    <w:rsid w:val="008876B0"/>
    <w:rsid w:val="00895410"/>
    <w:rsid w:val="008A0952"/>
    <w:rsid w:val="008A33F8"/>
    <w:rsid w:val="008C21E0"/>
    <w:rsid w:val="008C3502"/>
    <w:rsid w:val="008C480A"/>
    <w:rsid w:val="008E009A"/>
    <w:rsid w:val="008F18F0"/>
    <w:rsid w:val="00900922"/>
    <w:rsid w:val="0090302D"/>
    <w:rsid w:val="00904348"/>
    <w:rsid w:val="00906CC5"/>
    <w:rsid w:val="00915083"/>
    <w:rsid w:val="0093228B"/>
    <w:rsid w:val="009333AA"/>
    <w:rsid w:val="00934B1F"/>
    <w:rsid w:val="0099048E"/>
    <w:rsid w:val="009A1003"/>
    <w:rsid w:val="009B7971"/>
    <w:rsid w:val="009D0B3B"/>
    <w:rsid w:val="00A033C1"/>
    <w:rsid w:val="00A046C7"/>
    <w:rsid w:val="00A119AA"/>
    <w:rsid w:val="00A11BD3"/>
    <w:rsid w:val="00A20263"/>
    <w:rsid w:val="00A42F5F"/>
    <w:rsid w:val="00A43F75"/>
    <w:rsid w:val="00A65AE3"/>
    <w:rsid w:val="00A77608"/>
    <w:rsid w:val="00A876C2"/>
    <w:rsid w:val="00A87B86"/>
    <w:rsid w:val="00A90A83"/>
    <w:rsid w:val="00AA5BDD"/>
    <w:rsid w:val="00AA60D7"/>
    <w:rsid w:val="00AB017D"/>
    <w:rsid w:val="00AC44E3"/>
    <w:rsid w:val="00AD0A15"/>
    <w:rsid w:val="00AD46C3"/>
    <w:rsid w:val="00AE75F2"/>
    <w:rsid w:val="00AF1FA6"/>
    <w:rsid w:val="00B14FEA"/>
    <w:rsid w:val="00B42FC9"/>
    <w:rsid w:val="00B458F5"/>
    <w:rsid w:val="00B527EC"/>
    <w:rsid w:val="00B55DE8"/>
    <w:rsid w:val="00B65453"/>
    <w:rsid w:val="00B66C2F"/>
    <w:rsid w:val="00B7201A"/>
    <w:rsid w:val="00B84E01"/>
    <w:rsid w:val="00B962B7"/>
    <w:rsid w:val="00BA5C3F"/>
    <w:rsid w:val="00BA7024"/>
    <w:rsid w:val="00BB092E"/>
    <w:rsid w:val="00BB228A"/>
    <w:rsid w:val="00BB25CF"/>
    <w:rsid w:val="00BB3C9A"/>
    <w:rsid w:val="00BC7F64"/>
    <w:rsid w:val="00BD4111"/>
    <w:rsid w:val="00BF2A27"/>
    <w:rsid w:val="00C03801"/>
    <w:rsid w:val="00C11201"/>
    <w:rsid w:val="00C14153"/>
    <w:rsid w:val="00C16F72"/>
    <w:rsid w:val="00C219B9"/>
    <w:rsid w:val="00C25F69"/>
    <w:rsid w:val="00C368E5"/>
    <w:rsid w:val="00C36951"/>
    <w:rsid w:val="00C403A8"/>
    <w:rsid w:val="00C4296E"/>
    <w:rsid w:val="00C472DD"/>
    <w:rsid w:val="00C5174C"/>
    <w:rsid w:val="00C52C4F"/>
    <w:rsid w:val="00C70A55"/>
    <w:rsid w:val="00C737D2"/>
    <w:rsid w:val="00C823F4"/>
    <w:rsid w:val="00C839D7"/>
    <w:rsid w:val="00C92C7F"/>
    <w:rsid w:val="00C92FBE"/>
    <w:rsid w:val="00CB317E"/>
    <w:rsid w:val="00CB421B"/>
    <w:rsid w:val="00CD29FA"/>
    <w:rsid w:val="00CD3E7A"/>
    <w:rsid w:val="00CE6A65"/>
    <w:rsid w:val="00CE7ABD"/>
    <w:rsid w:val="00D102F0"/>
    <w:rsid w:val="00D33F2F"/>
    <w:rsid w:val="00D33FDC"/>
    <w:rsid w:val="00D511B2"/>
    <w:rsid w:val="00DB0B43"/>
    <w:rsid w:val="00DB2161"/>
    <w:rsid w:val="00DB4A41"/>
    <w:rsid w:val="00DC0FE2"/>
    <w:rsid w:val="00DD2FB4"/>
    <w:rsid w:val="00DD6FAB"/>
    <w:rsid w:val="00DE46D6"/>
    <w:rsid w:val="00DE504A"/>
    <w:rsid w:val="00DE6C87"/>
    <w:rsid w:val="00DF27EF"/>
    <w:rsid w:val="00DF390F"/>
    <w:rsid w:val="00E0048F"/>
    <w:rsid w:val="00E163F0"/>
    <w:rsid w:val="00E2441E"/>
    <w:rsid w:val="00E36D30"/>
    <w:rsid w:val="00E418FA"/>
    <w:rsid w:val="00E47A7D"/>
    <w:rsid w:val="00E60AB4"/>
    <w:rsid w:val="00E7557C"/>
    <w:rsid w:val="00E90FAD"/>
    <w:rsid w:val="00EA020B"/>
    <w:rsid w:val="00EA050F"/>
    <w:rsid w:val="00EB0A68"/>
    <w:rsid w:val="00EB1BBD"/>
    <w:rsid w:val="00EB678C"/>
    <w:rsid w:val="00ED26B7"/>
    <w:rsid w:val="00EE5505"/>
    <w:rsid w:val="00EE5703"/>
    <w:rsid w:val="00EF5105"/>
    <w:rsid w:val="00F304A0"/>
    <w:rsid w:val="00F506BF"/>
    <w:rsid w:val="00F51D92"/>
    <w:rsid w:val="00F52182"/>
    <w:rsid w:val="00F525F7"/>
    <w:rsid w:val="00F61BE8"/>
    <w:rsid w:val="00F7297E"/>
    <w:rsid w:val="00F83F51"/>
    <w:rsid w:val="00F910E3"/>
    <w:rsid w:val="00F92683"/>
    <w:rsid w:val="00F968E9"/>
    <w:rsid w:val="00FA3DF2"/>
    <w:rsid w:val="00FC58AD"/>
    <w:rsid w:val="00FD6EB3"/>
    <w:rsid w:val="00FE7419"/>
    <w:rsid w:val="00FF3EA2"/>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F758BE"/>
  <w15:chartTrackingRefBased/>
  <w15:docId w15:val="{6DFCBAFA-9714-42C3-A3CE-ECB0C490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A33F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A33F8"/>
    <w:rPr>
      <w:rFonts w:ascii="Consolas" w:hAnsi="Consolas"/>
      <w:sz w:val="21"/>
      <w:szCs w:val="21"/>
    </w:rPr>
  </w:style>
  <w:style w:type="paragraph" w:styleId="Header">
    <w:name w:val="header"/>
    <w:basedOn w:val="Normal"/>
    <w:link w:val="HeaderChar"/>
    <w:uiPriority w:val="99"/>
    <w:unhideWhenUsed/>
    <w:rsid w:val="00745D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D48"/>
  </w:style>
  <w:style w:type="paragraph" w:styleId="Footer">
    <w:name w:val="footer"/>
    <w:basedOn w:val="Normal"/>
    <w:link w:val="FooterChar"/>
    <w:uiPriority w:val="99"/>
    <w:unhideWhenUsed/>
    <w:rsid w:val="00745D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D48"/>
  </w:style>
  <w:style w:type="paragraph" w:customStyle="1" w:styleId="Default">
    <w:name w:val="Default"/>
    <w:basedOn w:val="Normal"/>
    <w:rsid w:val="00872495"/>
    <w:pPr>
      <w:autoSpaceDE w:val="0"/>
      <w:autoSpaceDN w:val="0"/>
      <w:spacing w:after="0" w:line="240" w:lineRule="auto"/>
    </w:pPr>
    <w:rPr>
      <w:rFonts w:ascii="Times New Roman" w:hAnsi="Times New Roman" w:cs="Times New Roman"/>
      <w:color w:val="000000"/>
      <w:sz w:val="24"/>
      <w:szCs w:val="24"/>
      <w14:ligatures w14:val="standardContextual"/>
    </w:rPr>
  </w:style>
  <w:style w:type="character" w:customStyle="1" w:styleId="ui-provider">
    <w:name w:val="ui-provider"/>
    <w:basedOn w:val="DefaultParagraphFont"/>
    <w:rsid w:val="0069597E"/>
  </w:style>
  <w:style w:type="character" w:styleId="CommentReference">
    <w:name w:val="annotation reference"/>
    <w:basedOn w:val="DefaultParagraphFont"/>
    <w:uiPriority w:val="99"/>
    <w:semiHidden/>
    <w:unhideWhenUsed/>
    <w:rsid w:val="00B14FEA"/>
    <w:rPr>
      <w:sz w:val="16"/>
      <w:szCs w:val="16"/>
    </w:rPr>
  </w:style>
  <w:style w:type="paragraph" w:styleId="CommentText">
    <w:name w:val="annotation text"/>
    <w:basedOn w:val="Normal"/>
    <w:link w:val="CommentTextChar"/>
    <w:uiPriority w:val="99"/>
    <w:unhideWhenUsed/>
    <w:rsid w:val="00B14FEA"/>
    <w:pPr>
      <w:spacing w:line="240" w:lineRule="auto"/>
    </w:pPr>
    <w:rPr>
      <w:sz w:val="20"/>
      <w:szCs w:val="20"/>
    </w:rPr>
  </w:style>
  <w:style w:type="character" w:customStyle="1" w:styleId="CommentTextChar">
    <w:name w:val="Comment Text Char"/>
    <w:basedOn w:val="DefaultParagraphFont"/>
    <w:link w:val="CommentText"/>
    <w:uiPriority w:val="99"/>
    <w:rsid w:val="00B14FE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662571">
      <w:bodyDiv w:val="1"/>
      <w:marLeft w:val="0"/>
      <w:marRight w:val="0"/>
      <w:marTop w:val="0"/>
      <w:marBottom w:val="0"/>
      <w:divBdr>
        <w:top w:val="none" w:sz="0" w:space="0" w:color="auto"/>
        <w:left w:val="none" w:sz="0" w:space="0" w:color="auto"/>
        <w:bottom w:val="none" w:sz="0" w:space="0" w:color="auto"/>
        <w:right w:val="none" w:sz="0" w:space="0" w:color="auto"/>
      </w:divBdr>
    </w:div>
    <w:div w:id="20192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e9b51eb-62f5-42bb-9594-5a5af861a52c}" enabled="1" method="Standard" siteId="{0d69cd8a-9e12-4d21-95f0-b4406e06710a}"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3</Pages>
  <Words>1166</Words>
  <Characters>6719</Characters>
  <Application>Microsoft Office Word</Application>
  <DocSecurity>0</DocSecurity>
  <Lines>124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David Casto</dc:creator>
  <cp:keywords/>
  <dc:description/>
  <cp:lastModifiedBy>Brian D. Casto</cp:lastModifiedBy>
  <cp:revision>13</cp:revision>
  <dcterms:created xsi:type="dcterms:W3CDTF">2026-02-19T19:48:00Z</dcterms:created>
  <dcterms:modified xsi:type="dcterms:W3CDTF">2026-04-16T12:39:00Z</dcterms:modified>
</cp:coreProperties>
</file>