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IV: USSGL Account Attributes</w:t>
      </w:r>
    </w:p>
    <w:p>
      <w:pPr>
        <w:pStyle w:val="BodyText"/>
        <w:spacing w:before="3"/>
        <w:rPr>
          <w:b/>
          <w:sz w:val="34"/>
        </w:rPr>
      </w:pPr>
    </w:p>
    <w:p>
      <w:pPr>
        <w:pStyle w:val="BodyText"/>
        <w:spacing w:line="312" w:lineRule="auto" w:before="1"/>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6"/>
        <w:rPr>
          <w:sz w:val="26"/>
        </w:rPr>
      </w:pPr>
    </w:p>
    <w:p>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pPr>
        <w:pStyle w:val="BodyText"/>
        <w:spacing w:before="6"/>
        <w:rPr>
          <w:sz w:val="26"/>
        </w:rPr>
      </w:pPr>
    </w:p>
    <w:p>
      <w:pPr>
        <w:spacing w:line="312" w:lineRule="auto" w:before="0"/>
        <w:ind w:left="110" w:right="686" w:firstLine="0"/>
        <w:jc w:val="left"/>
        <w:rPr>
          <w:sz w:val="19"/>
        </w:rPr>
      </w:pPr>
      <w:r>
        <w:rPr>
          <w:w w:val="105"/>
          <w:sz w:val="19"/>
        </w:rPr>
        <w:t>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pPr>
        <w:pStyle w:val="BodyText"/>
        <w:spacing w:line="312" w:lineRule="auto" w:before="2"/>
        <w:ind w:left="110" w:right="686"/>
      </w:pPr>
      <w:r>
        <w:rPr>
          <w:w w:val="105"/>
        </w:rPr>
        <w:t>The USSGL crosswalks for the financial statements reference these attributes as a requirement for proper reporting on the particular financial statement line items.</w:t>
      </w:r>
    </w:p>
    <w:p>
      <w:pPr>
        <w:pStyle w:val="BodyText"/>
        <w:spacing w:before="3"/>
        <w:rPr>
          <w:sz w:val="26"/>
        </w:rPr>
      </w:pPr>
    </w:p>
    <w:p>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8"/>
        <w:rPr>
          <w:sz w:val="26"/>
        </w:rPr>
      </w:pPr>
    </w:p>
    <w:p>
      <w:pPr>
        <w:spacing w:before="1"/>
        <w:ind w:left="110" w:right="0" w:firstLine="0"/>
        <w:jc w:val="left"/>
        <w:rPr>
          <w:b/>
          <w:sz w:val="19"/>
        </w:rPr>
      </w:pPr>
      <w:r>
        <w:rPr>
          <w:b/>
          <w:w w:val="105"/>
          <w:sz w:val="19"/>
        </w:rPr>
        <w:t>Note:</w:t>
      </w:r>
    </w:p>
    <w:p>
      <w:pPr>
        <w:spacing w:line="312" w:lineRule="auto" w:before="78"/>
        <w:ind w:left="110" w:right="820" w:firstLine="0"/>
        <w:jc w:val="left"/>
        <w:rPr>
          <w:sz w:val="16"/>
        </w:rPr>
      </w:pPr>
      <w:r>
        <w:rPr>
          <w:w w:val="105"/>
          <w:sz w:val="16"/>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w:t>
      </w:r>
      <w:r>
        <w:rPr>
          <w:w w:val="105"/>
          <w:sz w:val="16"/>
        </w:rPr>
        <w:t>Adjustments</w:t>
      </w:r>
      <w:r>
        <w:rPr>
          <w:spacing w:val="-10"/>
          <w:w w:val="105"/>
          <w:sz w:val="16"/>
        </w:rPr>
        <w:t> </w:t>
      </w:r>
      <w:r>
        <w:rPr>
          <w:w w:val="105"/>
          <w:sz w:val="16"/>
        </w:rPr>
        <w:t>of</w:t>
      </w:r>
      <w:r>
        <w:rPr>
          <w:spacing w:val="-7"/>
          <w:w w:val="105"/>
          <w:sz w:val="16"/>
        </w:rPr>
        <w:t> </w:t>
      </w:r>
      <w:r>
        <w:rPr>
          <w:w w:val="105"/>
          <w:sz w:val="16"/>
        </w:rPr>
        <w:t>Prior-Year</w:t>
      </w:r>
      <w:r>
        <w:rPr>
          <w:spacing w:val="-7"/>
          <w:w w:val="105"/>
          <w:sz w:val="16"/>
        </w:rPr>
        <w:t> </w:t>
      </w:r>
      <w:r>
        <w:rPr>
          <w:w w:val="105"/>
          <w:sz w:val="16"/>
        </w:rPr>
        <w:t>Unpaid</w:t>
      </w:r>
      <w:r>
        <w:rPr>
          <w:spacing w:val="-14"/>
          <w:w w:val="105"/>
          <w:sz w:val="16"/>
        </w:rPr>
        <w:t> </w:t>
      </w:r>
      <w:r>
        <w:rPr>
          <w:w w:val="105"/>
          <w:sz w:val="16"/>
        </w:rPr>
        <w:t>Delivered</w:t>
      </w:r>
      <w:r>
        <w:rPr>
          <w:spacing w:val="-9"/>
          <w:w w:val="105"/>
          <w:sz w:val="16"/>
        </w:rPr>
        <w:t> </w:t>
      </w:r>
      <w:r>
        <w:rPr>
          <w:w w:val="105"/>
          <w:sz w:val="16"/>
        </w:rPr>
        <w:t>Orders–Obligations,</w:t>
      </w:r>
      <w:r>
        <w:rPr>
          <w:spacing w:val="-13"/>
          <w:w w:val="105"/>
          <w:sz w:val="16"/>
        </w:rPr>
        <w:t> </w:t>
      </w:r>
      <w:r>
        <w:rPr>
          <w:w w:val="105"/>
          <w:sz w:val="16"/>
        </w:rPr>
        <w:t>Recoveries,”</w:t>
      </w:r>
      <w:r>
        <w:rPr>
          <w:spacing w:val="-13"/>
          <w:w w:val="105"/>
          <w:sz w:val="16"/>
        </w:rPr>
        <w:t> </w:t>
      </w:r>
      <w:r>
        <w:rPr>
          <w:w w:val="105"/>
          <w:sz w:val="16"/>
        </w:rPr>
        <w:t>and</w:t>
      </w:r>
      <w:r>
        <w:rPr>
          <w:spacing w:val="-8"/>
          <w:w w:val="105"/>
          <w:sz w:val="16"/>
        </w:rPr>
        <w:t> </w:t>
      </w:r>
      <w:r>
        <w:rPr>
          <w:w w:val="105"/>
          <w:sz w:val="16"/>
        </w:rPr>
        <w:t>497200,</w:t>
      </w:r>
      <w:r>
        <w:rPr>
          <w:spacing w:val="-13"/>
          <w:w w:val="105"/>
          <w:sz w:val="16"/>
        </w:rPr>
        <w:t> </w:t>
      </w:r>
      <w:r>
        <w:rPr>
          <w:w w:val="105"/>
          <w:sz w:val="16"/>
        </w:rPr>
        <w:t>“Downward</w:t>
      </w:r>
      <w:r>
        <w:rPr>
          <w:spacing w:val="-11"/>
          <w:w w:val="105"/>
          <w:sz w:val="16"/>
        </w:rPr>
        <w:t>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4"/>
          <w:w w:val="105"/>
          <w:sz w:val="16"/>
        </w:rPr>
        <w:t> </w:t>
      </w:r>
      <w:r>
        <w:rPr>
          <w:w w:val="105"/>
          <w:sz w:val="16"/>
        </w:rPr>
        <w:t>properly.</w:t>
      </w:r>
    </w:p>
    <w:p>
      <w:pPr>
        <w:pStyle w:val="BodyText"/>
        <w:spacing w:before="3"/>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500"/>
        <w:gridCol w:w="1620"/>
      </w:tblGrid>
      <w:tr>
        <w:trPr>
          <w:trHeight w:val="315" w:hRule="atLeast"/>
        </w:trPr>
        <w:tc>
          <w:tcPr>
            <w:tcW w:w="4500" w:type="dxa"/>
          </w:tcPr>
          <w:p>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500" w:type="dxa"/>
          </w:tcPr>
          <w:p>
            <w:pPr>
              <w:pStyle w:val="TableParagraph"/>
              <w:rPr>
                <w:sz w:val="24"/>
              </w:rPr>
            </w:pPr>
            <w:r>
              <w:rPr>
                <w:sz w:val="24"/>
              </w:rPr>
              <w:t>USSGL Attribute Definition Report (ADR)</w:t>
            </w:r>
          </w:p>
        </w:tc>
        <w:tc>
          <w:tcPr>
            <w:tcW w:w="1620" w:type="dxa"/>
            <w:tcBorders>
              <w:right w:val="single" w:sz="12" w:space="0" w:color="818181"/>
            </w:tcBorders>
          </w:tcPr>
          <w:p>
            <w:pPr>
              <w:pStyle w:val="TableParagraph"/>
              <w:rPr>
                <w:sz w:val="24"/>
              </w:rPr>
            </w:pPr>
            <w:r>
              <w:rPr>
                <w:sz w:val="24"/>
              </w:rPr>
              <w:t>IV ADR - 1</w:t>
            </w:r>
          </w:p>
        </w:tc>
      </w:tr>
      <w:tr>
        <w:trPr>
          <w:trHeight w:val="315" w:hRule="atLeast"/>
        </w:trPr>
        <w:tc>
          <w:tcPr>
            <w:tcW w:w="4500" w:type="dxa"/>
            <w:tcBorders>
              <w:bottom w:val="single" w:sz="12" w:space="0" w:color="818181"/>
            </w:tcBorders>
          </w:tcPr>
          <w:p>
            <w:pPr>
              <w:pStyle w:val="TableParagraph"/>
              <w:rPr>
                <w:sz w:val="24"/>
              </w:rPr>
            </w:pPr>
            <w:r>
              <w:rPr>
                <w:sz w:val="24"/>
              </w:rPr>
              <w:t>USSGL Account Attribute Table (AT)</w:t>
            </w:r>
          </w:p>
        </w:tc>
        <w:tc>
          <w:tcPr>
            <w:tcW w:w="1620" w:type="dxa"/>
            <w:tcBorders>
              <w:bottom w:val="single" w:sz="12" w:space="0" w:color="818181"/>
              <w:right w:val="single" w:sz="12" w:space="0" w:color="818181"/>
            </w:tcBorders>
          </w:tcPr>
          <w:p>
            <w:pPr>
              <w:pStyle w:val="TableParagraph"/>
              <w:rPr>
                <w:sz w:val="24"/>
              </w:rPr>
            </w:pPr>
            <w:r>
              <w:rPr>
                <w:sz w:val="24"/>
              </w:rPr>
              <w:t>IV AT - 1</w:t>
            </w:r>
          </w:p>
        </w:tc>
      </w:tr>
    </w:tbl>
    <w:p>
      <w:pPr>
        <w:pStyle w:val="BodyText"/>
        <w:rPr>
          <w:sz w:val="18"/>
        </w:rPr>
      </w:pPr>
    </w:p>
    <w:p>
      <w:pPr>
        <w:pStyle w:val="BodyText"/>
        <w:spacing w:before="3"/>
        <w:rPr>
          <w:sz w:val="17"/>
        </w:rPr>
      </w:pPr>
    </w:p>
    <w:p>
      <w:pPr>
        <w:spacing w:before="0"/>
        <w:ind w:left="0" w:right="119" w:firstLine="0"/>
        <w:jc w:val="right"/>
        <w:rPr>
          <w:rFonts w:ascii="Palatino Linotype"/>
          <w:sz w:val="24"/>
        </w:rPr>
      </w:pPr>
      <w:r>
        <w:rPr>
          <w:rFonts w:ascii="Palatino Linotype"/>
          <w:sz w:val="24"/>
        </w:rPr>
        <w:t>Page 1 of 2</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dcterms:created xsi:type="dcterms:W3CDTF">2020-04-07T18:26:31Z</dcterms:created>
  <dcterms:modified xsi:type="dcterms:W3CDTF">2020-04-07T18:26:31Z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2020-04-07T00:00:00Z</vt:filetime>
  </property>
</Properties>
</file>