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182" w:val="left" w:leader="none"/>
        </w:tabs>
        <w:spacing w:before="63"/>
        <w:rPr>
          <w:rFonts w:ascii="Arial"/>
        </w:rPr>
      </w:pPr>
      <w:r>
        <w:rPr>
          <w:rFonts w:ascii="Arial"/>
        </w:rPr>
        <w:t>Part 1</w:t>
        <w:tab/>
        <w:t>Fiscal Year 2017</w:t>
      </w:r>
      <w:r>
        <w:rPr>
          <w:rFonts w:ascii="Arial"/>
          <w:spacing w:val="-10"/>
        </w:rPr>
        <w:t> </w:t>
      </w:r>
      <w:r>
        <w:rPr>
          <w:rFonts w:ascii="Arial"/>
        </w:rPr>
        <w:t>Reporting</w:t>
      </w:r>
    </w:p>
    <w:p>
      <w:pPr>
        <w:tabs>
          <w:tab w:pos="7793" w:val="left" w:leader="none"/>
        </w:tabs>
        <w:spacing w:before="13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SUPPLEMENT</w:t>
        <w:tab/>
        <w:t>Section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III</w:t>
      </w:r>
    </w:p>
    <w:p>
      <w:pPr>
        <w:spacing w:line="300" w:lineRule="auto" w:before="30"/>
        <w:ind w:left="2882" w:right="2243" w:firstLine="1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U.S. Standard General Ledger Account Transaction Categories</w:t>
      </w:r>
    </w:p>
    <w:p>
      <w:pPr>
        <w:spacing w:before="63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TRANSACTION</w:t>
      </w:r>
    </w:p>
    <w:p>
      <w:pPr>
        <w:tabs>
          <w:tab w:pos="1437" w:val="left" w:leader="none"/>
        </w:tabs>
        <w:spacing w:before="46"/>
        <w:ind w:left="4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CODE</w:t>
      </w:r>
      <w:r>
        <w:rPr>
          <w:rFonts w:ascii="Arial"/>
          <w:b/>
          <w:sz w:val="16"/>
        </w:rPr>
        <w:tab/>
      </w:r>
      <w:r>
        <w:rPr>
          <w:rFonts w:ascii="Arial"/>
          <w:b/>
          <w:sz w:val="16"/>
          <w:u w:val="single"/>
        </w:rPr>
        <w:t>TRANSACTION</w:t>
      </w:r>
      <w:r>
        <w:rPr>
          <w:rFonts w:ascii="Arial"/>
          <w:b/>
          <w:spacing w:val="-2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DESCRIPTION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484" w:right="0" w:hanging="245"/>
        <w:jc w:val="left"/>
      </w:pPr>
      <w:r>
        <w:rPr/>
        <w:t>Funding</w:t>
      </w:r>
    </w:p>
    <w:p>
      <w:pPr>
        <w:pStyle w:val="BodyText"/>
        <w:tabs>
          <w:tab w:pos="1401" w:val="left" w:leader="none"/>
        </w:tabs>
        <w:spacing w:line="283" w:lineRule="auto" w:before="34"/>
        <w:ind w:left="239" w:right="3827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Budgetary Resources Other Than</w:t>
      </w:r>
      <w:r>
        <w:rPr>
          <w:spacing w:val="-14"/>
        </w:rPr>
        <w:t> </w:t>
      </w:r>
      <w:r>
        <w:rPr/>
        <w:t>Collections 400 -</w:t>
      </w:r>
      <w:r>
        <w:rPr>
          <w:spacing w:val="-3"/>
        </w:rPr>
        <w:t> </w:t>
      </w:r>
      <w:r>
        <w:rPr/>
        <w:t>699</w:t>
        <w:tab/>
        <w:t>Authority</w:t>
      </w:r>
      <w:r>
        <w:rPr>
          <w:spacing w:val="-5"/>
        </w:rPr>
        <w:t> </w:t>
      </w:r>
      <w:r>
        <w:rPr/>
        <w:t>Transfers</w:t>
      </w:r>
    </w:p>
    <w:p>
      <w:pPr>
        <w:pStyle w:val="BodyText"/>
        <w:tabs>
          <w:tab w:pos="1401" w:val="left" w:leader="none"/>
        </w:tabs>
        <w:spacing w:line="227" w:lineRule="exact"/>
        <w:ind w:left="239"/>
      </w:pPr>
      <w:r>
        <w:rPr/>
        <w:t>700 -</w:t>
      </w:r>
      <w:r>
        <w:rPr>
          <w:spacing w:val="-3"/>
        </w:rPr>
        <w:t> </w:t>
      </w:r>
      <w:r>
        <w:rPr/>
        <w:t>799</w:t>
        <w:tab/>
        <w:t>Reimbursables and Other Income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1" w:after="43"/>
        <w:ind w:left="474" w:right="0" w:hanging="235"/>
        <w:jc w:val="left"/>
      </w:pPr>
      <w:r>
        <w:rPr/>
        <w:t>Disbursements and</w:t>
      </w:r>
      <w:r>
        <w:rPr>
          <w:spacing w:val="-3"/>
        </w:rPr>
        <w:t> </w:t>
      </w:r>
      <w:r>
        <w:rPr/>
        <w:t>Payables</w:t>
      </w: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5457"/>
      </w:tblGrid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21" w:lineRule="exact" w:before="0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7" w:type="dxa"/>
          </w:tcPr>
          <w:p>
            <w:pPr>
              <w:pStyle w:val="TableParagraph"/>
              <w:spacing w:line="221" w:lineRule="exact" w:before="0"/>
              <w:ind w:left="197"/>
              <w:rPr>
                <w:sz w:val="20"/>
              </w:rPr>
            </w:pPr>
            <w:r>
              <w:rPr>
                <w:sz w:val="20"/>
              </w:rPr>
              <w:t>Payments/Purchases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7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Commitments/Undelivered Orders/Expended Authority - Unpaid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Payables/Accrued Liabilities</w:t>
            </w:r>
          </w:p>
        </w:tc>
      </w:tr>
      <w:tr>
        <w:trPr>
          <w:trHeight w:val="246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600 - 699</w:t>
            </w:r>
          </w:p>
        </w:tc>
        <w:tc>
          <w:tcPr>
            <w:tcW w:w="5457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Advances and Prepayments</w:t>
            </w:r>
          </w:p>
        </w:tc>
      </w:tr>
      <w:tr>
        <w:trPr>
          <w:trHeight w:val="495" w:hRule="atLeast"/>
        </w:trPr>
        <w:tc>
          <w:tcPr>
            <w:tcW w:w="6471" w:type="dxa"/>
            <w:gridSpan w:val="2"/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C. Collections and Receivables</w:t>
            </w:r>
          </w:p>
        </w:tc>
      </w:tr>
      <w:tr>
        <w:trPr>
          <w:trHeight w:val="268" w:hRule="atLeast"/>
        </w:trPr>
        <w:tc>
          <w:tcPr>
            <w:tcW w:w="1014" w:type="dxa"/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100 - 399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3"/>
              <w:ind w:left="197"/>
              <w:rPr>
                <w:sz w:val="20"/>
              </w:rPr>
            </w:pPr>
            <w:r>
              <w:rPr>
                <w:sz w:val="20"/>
              </w:rPr>
              <w:t>Receipts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400 - 599</w:t>
            </w:r>
          </w:p>
        </w:tc>
        <w:tc>
          <w:tcPr>
            <w:tcW w:w="5457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Receivables/Accrued Revenue</w:t>
            </w:r>
          </w:p>
        </w:tc>
      </w:tr>
      <w:tr>
        <w:trPr>
          <w:trHeight w:val="244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 w:before="15"/>
              <w:rPr>
                <w:sz w:val="20"/>
              </w:rPr>
            </w:pPr>
            <w:r>
              <w:rPr>
                <w:sz w:val="20"/>
              </w:rPr>
              <w:t>600 - 799</w:t>
            </w:r>
          </w:p>
        </w:tc>
        <w:tc>
          <w:tcPr>
            <w:tcW w:w="5457" w:type="dxa"/>
          </w:tcPr>
          <w:p>
            <w:pPr>
              <w:pStyle w:val="TableParagraph"/>
              <w:spacing w:line="210" w:lineRule="exact" w:before="15"/>
              <w:ind w:left="197"/>
              <w:rPr>
                <w:sz w:val="20"/>
              </w:rPr>
            </w:pPr>
            <w:r>
              <w:rPr>
                <w:sz w:val="20"/>
              </w:rPr>
              <w:t>Asset Sale and Disposition (Gains and Losses)</w:t>
            </w:r>
          </w:p>
        </w:tc>
      </w:tr>
      <w:tr>
        <w:trPr>
          <w:trHeight w:val="496" w:hRule="atLeast"/>
        </w:trPr>
        <w:tc>
          <w:tcPr>
            <w:tcW w:w="6471" w:type="dxa"/>
            <w:gridSpan w:val="2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D. Adjustments/Writeoffs/Reclassification</w:t>
            </w:r>
          </w:p>
        </w:tc>
      </w:tr>
      <w:tr>
        <w:trPr>
          <w:trHeight w:val="267" w:hRule="atLeast"/>
        </w:trPr>
        <w:tc>
          <w:tcPr>
            <w:tcW w:w="1014" w:type="dxa"/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100 - 299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2"/>
              <w:ind w:left="197"/>
              <w:rPr>
                <w:sz w:val="20"/>
              </w:rPr>
            </w:pPr>
            <w:r>
              <w:rPr>
                <w:sz w:val="20"/>
              </w:rPr>
              <w:t>Upward and Downward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5457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Prior-Period Adjustments</w:t>
            </w:r>
          </w:p>
        </w:tc>
      </w:tr>
      <w:tr>
        <w:trPr>
          <w:trHeight w:val="270" w:hRule="atLeast"/>
        </w:trPr>
        <w:tc>
          <w:tcPr>
            <w:tcW w:w="1014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400 - 499</w:t>
            </w:r>
          </w:p>
        </w:tc>
        <w:tc>
          <w:tcPr>
            <w:tcW w:w="5457" w:type="dxa"/>
          </w:tcPr>
          <w:p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Writeoffs</w:t>
            </w:r>
          </w:p>
        </w:tc>
      </w:tr>
      <w:tr>
        <w:trPr>
          <w:trHeight w:val="245" w:hRule="atLeast"/>
        </w:trPr>
        <w:tc>
          <w:tcPr>
            <w:tcW w:w="10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500 - 799</w:t>
            </w:r>
          </w:p>
        </w:tc>
        <w:tc>
          <w:tcPr>
            <w:tcW w:w="5457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Reclassification/Revaluation</w:t>
            </w:r>
          </w:p>
        </w:tc>
      </w:tr>
    </w:tbl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233"/>
        <w:jc w:val="left"/>
        <w:rPr>
          <w:b/>
          <w:sz w:val="20"/>
        </w:rPr>
      </w:pPr>
      <w:r>
        <w:rPr>
          <w:b/>
          <w:sz w:val="20"/>
        </w:rPr>
        <w:t>Accruals/Nonbudgetary Transfers Other Than Disbursements 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Collections</w:t>
      </w:r>
    </w:p>
    <w:p>
      <w:pPr>
        <w:pStyle w:val="BodyText"/>
        <w:tabs>
          <w:tab w:pos="1401" w:val="left" w:leader="none"/>
        </w:tabs>
        <w:spacing w:before="37"/>
        <w:ind w:left="239"/>
      </w:pPr>
      <w:r>
        <w:rPr/>
        <w:t>100 -</w:t>
      </w:r>
      <w:r>
        <w:rPr>
          <w:spacing w:val="-3"/>
        </w:rPr>
        <w:t> </w:t>
      </w:r>
      <w:r>
        <w:rPr/>
        <w:t>399</w:t>
        <w:tab/>
        <w:t>Accrual, Depreciation, Amortization, and</w:t>
      </w:r>
      <w:r>
        <w:rPr>
          <w:spacing w:val="3"/>
        </w:rPr>
        <w:t> </w:t>
      </w:r>
      <w:r>
        <w:rPr/>
        <w:t>Depletion</w:t>
      </w:r>
    </w:p>
    <w:p>
      <w:pPr>
        <w:pStyle w:val="BodyText"/>
        <w:tabs>
          <w:tab w:pos="1401" w:val="left" w:leader="none"/>
        </w:tabs>
        <w:spacing w:line="280" w:lineRule="auto" w:before="41"/>
        <w:ind w:left="239" w:right="2692"/>
      </w:pPr>
      <w:r>
        <w:rPr/>
        <w:t>400 -</w:t>
      </w:r>
      <w:r>
        <w:rPr>
          <w:spacing w:val="-3"/>
        </w:rPr>
        <w:t> </w:t>
      </w:r>
      <w:r>
        <w:rPr/>
        <w:t>499</w:t>
        <w:tab/>
        <w:t>Accumulated and Allocated Costs Not in Categories</w:t>
      </w:r>
      <w:r>
        <w:rPr>
          <w:spacing w:val="-22"/>
        </w:rPr>
        <w:t> </w:t>
      </w:r>
      <w:r>
        <w:rPr/>
        <w:t>Above 500 -</w:t>
      </w:r>
      <w:r>
        <w:rPr>
          <w:spacing w:val="-3"/>
        </w:rPr>
        <w:t> </w:t>
      </w:r>
      <w:r>
        <w:rPr/>
        <w:t>799</w:t>
        <w:tab/>
        <w:t>Transfers Without Budgetary</w:t>
      </w:r>
      <w:r>
        <w:rPr>
          <w:spacing w:val="-5"/>
        </w:rPr>
        <w:t> </w:t>
      </w:r>
      <w:r>
        <w:rPr/>
        <w:t>Impact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462" w:right="0" w:hanging="223"/>
        <w:jc w:val="left"/>
      </w:pPr>
      <w:r>
        <w:rPr/>
        <w:t>Yearend</w:t>
      </w:r>
    </w:p>
    <w:p>
      <w:pPr>
        <w:pStyle w:val="BodyText"/>
        <w:tabs>
          <w:tab w:pos="1401" w:val="left" w:leader="none"/>
        </w:tabs>
        <w:spacing w:before="36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Preclosing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300 -</w:t>
      </w:r>
      <w:r>
        <w:rPr>
          <w:spacing w:val="-3"/>
        </w:rPr>
        <w:t> </w:t>
      </w:r>
      <w:r>
        <w:rPr/>
        <w:t>499</w:t>
        <w:tab/>
        <w:t>Closing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4" w:val="left" w:leader="none"/>
        </w:tabs>
        <w:spacing w:line="240" w:lineRule="auto" w:before="1" w:after="0"/>
        <w:ind w:left="493" w:right="0" w:hanging="254"/>
        <w:jc w:val="left"/>
      </w:pPr>
      <w:r>
        <w:rPr/>
        <w:t>Memorandum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4"/>
        <w:ind w:left="239"/>
      </w:pPr>
      <w:r>
        <w:rPr/>
        <w:t>100 -</w:t>
      </w:r>
      <w:r>
        <w:rPr>
          <w:spacing w:val="-3"/>
        </w:rPr>
        <w:t> </w:t>
      </w:r>
      <w:r>
        <w:rPr/>
        <w:t>299</w:t>
        <w:tab/>
        <w:t>All Memorandum Entries (Excluding Closing Memorandum</w:t>
      </w:r>
      <w:r>
        <w:rPr>
          <w:spacing w:val="-10"/>
        </w:rPr>
        <w:t> </w:t>
      </w:r>
      <w:r>
        <w:rPr/>
        <w:t>Entries)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96" w:val="left" w:leader="none"/>
        </w:tabs>
        <w:spacing w:line="240" w:lineRule="auto" w:before="0" w:after="0"/>
        <w:ind w:left="495" w:right="0" w:hanging="256"/>
        <w:jc w:val="left"/>
      </w:pPr>
      <w:r>
        <w:rPr/>
        <w:t>Other Specialized Transaction</w:t>
      </w:r>
      <w:r>
        <w:rPr>
          <w:spacing w:val="-2"/>
        </w:rPr>
        <w:t> </w:t>
      </w:r>
      <w:r>
        <w:rPr/>
        <w:t>Entries</w:t>
      </w:r>
    </w:p>
    <w:p>
      <w:pPr>
        <w:pStyle w:val="BodyText"/>
        <w:tabs>
          <w:tab w:pos="1401" w:val="left" w:leader="none"/>
        </w:tabs>
        <w:spacing w:before="37"/>
        <w:ind w:left="239"/>
      </w:pPr>
      <w:r>
        <w:rPr/>
        <w:t>100 -</w:t>
      </w:r>
      <w:r>
        <w:rPr>
          <w:spacing w:val="-3"/>
        </w:rPr>
        <w:t> </w:t>
      </w:r>
      <w:r>
        <w:rPr/>
        <w:t>799</w:t>
        <w:tab/>
        <w:t>Other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tabs>
          <w:tab w:pos="4099" w:val="left" w:leader="none"/>
          <w:tab w:pos="7774" w:val="left" w:leader="none"/>
        </w:tabs>
        <w:spacing w:before="93"/>
        <w:rPr>
          <w:rFonts w:ascii="Arial"/>
        </w:rPr>
      </w:pPr>
      <w:r>
        <w:rPr>
          <w:rFonts w:ascii="Arial"/>
        </w:rPr>
        <w:t>Bulletin</w:t>
      </w:r>
      <w:r>
        <w:rPr>
          <w:rFonts w:ascii="Arial"/>
          <w:spacing w:val="-3"/>
        </w:rPr>
        <w:t> </w:t>
      </w:r>
      <w:r>
        <w:rPr>
          <w:rFonts w:ascii="Arial"/>
        </w:rPr>
        <w:t>No.</w:t>
      </w:r>
      <w:r>
        <w:rPr>
          <w:rFonts w:ascii="Arial"/>
          <w:spacing w:val="-3"/>
        </w:rPr>
        <w:t> </w:t>
      </w:r>
      <w:r>
        <w:rPr>
          <w:rFonts w:ascii="Arial"/>
        </w:rPr>
        <w:t>2017-06</w:t>
        <w:tab/>
        <w:t>III </w:t>
      </w:r>
      <w:r>
        <w:rPr>
          <w:rFonts w:ascii="Arial"/>
          <w:spacing w:val="-3"/>
        </w:rPr>
        <w:t>AC</w:t>
      </w:r>
      <w:r>
        <w:rPr>
          <w:rFonts w:ascii="Arial"/>
          <w:spacing w:val="0"/>
        </w:rPr>
        <w:t> </w:t>
      </w:r>
      <w:r>
        <w:rPr>
          <w:rFonts w:ascii="Arial"/>
        </w:rPr>
        <w:t>-</w:t>
      </w:r>
      <w:r>
        <w:rPr>
          <w:rFonts w:ascii="Arial"/>
          <w:spacing w:val="-1"/>
        </w:rPr>
        <w:t> </w:t>
      </w:r>
      <w:r>
        <w:rPr>
          <w:rFonts w:ascii="Arial"/>
        </w:rPr>
        <w:t>1</w:t>
        <w:tab/>
        <w:t>June</w:t>
      </w:r>
      <w:r>
        <w:rPr>
          <w:rFonts w:ascii="Arial"/>
          <w:spacing w:val="-2"/>
        </w:rPr>
        <w:t> </w:t>
      </w:r>
      <w:r>
        <w:rPr>
          <w:rFonts w:ascii="Arial"/>
        </w:rPr>
        <w:t>2017</w:t>
      </w:r>
    </w:p>
    <w:sectPr>
      <w:type w:val="continuous"/>
      <w:pgSz w:w="12240" w:h="15840"/>
      <w:pgMar w:top="68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."/>
      <w:lvlJc w:val="left"/>
      <w:pPr>
        <w:ind w:left="472" w:hanging="23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8" w:hanging="2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6" w:hanging="2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94" w:hanging="2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32" w:hanging="2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70" w:hanging="2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08" w:hanging="2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46" w:hanging="2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84" w:hanging="23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4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8" w:hanging="2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6" w:hanging="2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94" w:hanging="2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32" w:hanging="2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70" w:hanging="2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08" w:hanging="2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46" w:hanging="2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84" w:hanging="245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2" w:hanging="256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5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1 Section III: Account Transaction Categories</dc:title>
  <dcterms:created xsi:type="dcterms:W3CDTF">2018-05-04T20:09:40Z</dcterms:created>
  <dcterms:modified xsi:type="dcterms:W3CDTF">2018-05-04T20:09:40Z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2018-05-04T00:00:00Z</vt:filetime>
  </property>
</Properties>
</file>