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6" w:lineRule="auto" w:before="69"/>
        <w:ind w:left="3393" w:right="2545" w:hanging="83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U.S. Government Standard General Ledger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bookmarkStart w:name="USSGL Account Attributes" w:id="2"/>
      <w:bookmarkEnd w:id="2"/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ount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ibu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1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mbol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(GTA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152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right="357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nit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oss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refere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ibut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qui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ms.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6" w:lineRule="auto"/>
        <w:ind w:right="15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blue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blu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.”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lks.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right="12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487100,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487200,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497100,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497200,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-1"/>
          <w:w w:val="100"/>
        </w:rPr>
        <w:t>eare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480100,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480200,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490100,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id,”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490200,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“De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id.”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djustm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6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71" w:footer="756" w:top="1240" w:bottom="940" w:left="1320" w:right="1340"/>
          <w:pgNumType w:start="1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30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ft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sectPr>
      <w:pgSz w:w="12240" w:h="15840"/>
      <w:pgMar w:header="571" w:footer="756" w:top="124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43.20929pt;width:60.196281pt;height:11.96pt;mso-position-horizontal-relative:page;mso-position-vertical-relative:page;z-index:-11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14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12793pt;margin-top:743.207703pt;width:26.77476pt;height:11.96156pt;mso-position-horizontal-relative:page;mso-position-vertical-relative:page;z-index:-10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579132pt;margin-top:743.20929pt;width:50.105807pt;height:11.96pt;mso-position-horizontal-relative:page;mso-position-vertical-relative:page;z-index:-1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une</w:t>
                </w:r>
                <w:r>
                  <w:rPr>
                    <w:rFonts w:ascii="Arial" w:hAnsi="Arial" w:cs="Arial" w:eastAsia="Arial"/>
                    <w:b/>
                    <w:bCs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2014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27.529266pt;width:29.619081pt;height:11.96pt;mso-position-horizontal-relative:page;mso-position-vertical-relative:page;z-index:-1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512482pt;margin-top:27.529266pt;width:129.290794pt;height:11.96pt;mso-position-horizontal-relative:page;mso-position-vertical-relative:page;z-index:-11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60159pt;margin-top:51.293827pt;width:70.144332pt;height:11.96pt;mso-position-horizontal-relative:page;mso-position-vertical-relative:page;z-index:-11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PP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0.70459pt;margin-top:51.293827pt;width:58.568819pt;height:11.96pt;mso-position-horizontal-relative:page;mso-position-vertical-relative:page;z-index:-1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C. Yuran</dc:creator>
  <dc:title>USSGL Account Attributes for USSGL Proprietary Account and Budgetary Account Reporting</dc:title>
  <dcterms:created xsi:type="dcterms:W3CDTF">2015-07-15T12:43:31Z</dcterms:created>
  <dcterms:modified xsi:type="dcterms:W3CDTF">2015-07-15T12:43:31Z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2015-07-15T00:00:00Z</vt:filetime>
  </property>
</Properties>
</file>