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FF" w:rsidRDefault="001F05FF">
      <w:pPr>
        <w:widowControl/>
        <w:rPr>
          <w:color w:val="FF0000"/>
        </w:rPr>
      </w:pPr>
    </w:p>
    <w:p w:rsidR="001F05FF" w:rsidRDefault="001F05FF">
      <w:pPr>
        <w:rPr>
          <w:b/>
          <w:bCs/>
          <w:sz w:val="18"/>
          <w:szCs w:val="18"/>
        </w:rPr>
      </w:pPr>
    </w:p>
    <w:tbl>
      <w:tblPr>
        <w:tblW w:w="0" w:type="auto"/>
        <w:tblInd w:w="-10" w:type="dxa"/>
        <w:tblBorders>
          <w:top w:val="single" w:sz="6" w:space="0" w:color="auto"/>
          <w:left w:val="single" w:sz="6" w:space="0" w:color="auto"/>
          <w:bottom w:val="single" w:sz="6" w:space="0" w:color="auto"/>
          <w:right w:val="single" w:sz="6" w:space="0" w:color="auto"/>
        </w:tblBorders>
        <w:tblCellMar>
          <w:top w:w="12" w:type="dxa"/>
          <w:left w:w="12" w:type="dxa"/>
          <w:bottom w:w="12" w:type="dxa"/>
          <w:right w:w="12" w:type="dxa"/>
        </w:tblCellMar>
        <w:tblLook w:val="0000"/>
      </w:tblPr>
      <w:tblGrid>
        <w:gridCol w:w="1124"/>
        <w:gridCol w:w="1584"/>
        <w:gridCol w:w="2304"/>
        <w:gridCol w:w="1631"/>
        <w:gridCol w:w="884"/>
        <w:gridCol w:w="794"/>
        <w:gridCol w:w="705"/>
      </w:tblGrid>
      <w:tr w:rsidR="001F05FF">
        <w:tc>
          <w:tcPr>
            <w:tcW w:w="0" w:type="auto"/>
            <w:gridSpan w:val="3"/>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rPr>
                <w:b/>
                <w:bCs/>
                <w:color w:val="0000FF"/>
                <w:sz w:val="18"/>
                <w:szCs w:val="18"/>
                <w:u w:val="single" w:color="0000FF"/>
              </w:rPr>
            </w:pPr>
            <w:bookmarkStart w:id="0" w:name="_GoBack"/>
            <w:bookmarkEnd w:id="0"/>
            <w:r>
              <w:rPr>
                <w:b/>
                <w:bCs/>
                <w:color w:val="0000FF"/>
                <w:sz w:val="18"/>
                <w:szCs w:val="18"/>
                <w:u w:val="single" w:color="0000FF"/>
              </w:rPr>
              <w:t>Part  2</w:t>
            </w:r>
          </w:p>
        </w:tc>
        <w:tc>
          <w:tcPr>
            <w:tcW w:w="0" w:type="auto"/>
            <w:gridSpan w:val="4"/>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jc w:val="right"/>
              <w:rPr>
                <w:b/>
                <w:bCs/>
                <w:color w:val="0000FF"/>
                <w:sz w:val="18"/>
                <w:szCs w:val="18"/>
                <w:u w:val="single" w:color="0000FF"/>
              </w:rPr>
            </w:pPr>
            <w:r>
              <w:rPr>
                <w:b/>
                <w:bCs/>
                <w:color w:val="0000FF"/>
                <w:sz w:val="18"/>
                <w:szCs w:val="18"/>
                <w:u w:val="single" w:color="0000FF"/>
              </w:rPr>
              <w:t>Fiscal Year 2014 Reporting</w:t>
            </w:r>
          </w:p>
        </w:tc>
      </w:tr>
      <w:tr w:rsidR="001F05FF">
        <w:tc>
          <w:tcPr>
            <w:tcW w:w="0" w:type="auto"/>
            <w:gridSpan w:val="7"/>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 </w:t>
            </w:r>
          </w:p>
        </w:tc>
      </w:tr>
      <w:tr w:rsidR="001F05FF">
        <w:tc>
          <w:tcPr>
            <w:tcW w:w="0" w:type="auto"/>
            <w:gridSpan w:val="3"/>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rPr>
                <w:b/>
                <w:bCs/>
                <w:color w:val="0000FF"/>
                <w:sz w:val="18"/>
                <w:szCs w:val="18"/>
                <w:u w:val="single" w:color="0000FF"/>
              </w:rPr>
            </w:pPr>
            <w:r>
              <w:rPr>
                <w:b/>
                <w:bCs/>
                <w:color w:val="0000FF"/>
                <w:sz w:val="18"/>
                <w:szCs w:val="18"/>
                <w:u w:val="single" w:color="0000FF"/>
              </w:rPr>
              <w:t>SUPPLEMENT</w:t>
            </w:r>
          </w:p>
        </w:tc>
        <w:tc>
          <w:tcPr>
            <w:tcW w:w="0" w:type="auto"/>
            <w:gridSpan w:val="4"/>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jc w:val="right"/>
              <w:rPr>
                <w:b/>
                <w:bCs/>
                <w:color w:val="0000FF"/>
                <w:sz w:val="18"/>
                <w:szCs w:val="18"/>
                <w:u w:val="single" w:color="0000FF"/>
              </w:rPr>
            </w:pPr>
            <w:r>
              <w:rPr>
                <w:b/>
                <w:bCs/>
                <w:color w:val="0000FF"/>
                <w:sz w:val="18"/>
                <w:szCs w:val="18"/>
                <w:u w:val="single" w:color="0000FF"/>
              </w:rPr>
              <w:t>SECTION IV</w:t>
            </w:r>
          </w:p>
        </w:tc>
      </w:tr>
      <w:tr w:rsidR="001F05FF">
        <w:tc>
          <w:tcPr>
            <w:tcW w:w="0" w:type="auto"/>
            <w:gridSpan w:val="7"/>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 </w:t>
            </w:r>
          </w:p>
        </w:tc>
      </w:tr>
      <w:tr w:rsidR="001F05FF">
        <w:tc>
          <w:tcPr>
            <w:tcW w:w="0" w:type="auto"/>
            <w:gridSpan w:val="7"/>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jc w:val="center"/>
              <w:rPr>
                <w:b/>
                <w:bCs/>
                <w:color w:val="0000FF"/>
                <w:sz w:val="18"/>
                <w:szCs w:val="18"/>
                <w:u w:val="single" w:color="0000FF"/>
              </w:rPr>
            </w:pPr>
            <w:r>
              <w:rPr>
                <w:b/>
                <w:bCs/>
                <w:color w:val="0000FF"/>
                <w:sz w:val="18"/>
                <w:szCs w:val="18"/>
                <w:u w:val="single" w:color="0000FF"/>
              </w:rPr>
              <w:t>USSGL ACCOUNT ATTRIBUTE DEFINITION REPORT</w:t>
            </w:r>
          </w:p>
        </w:tc>
      </w:tr>
      <w:tr w:rsidR="001F05FF">
        <w:tc>
          <w:tcPr>
            <w:tcW w:w="0" w:type="auto"/>
            <w:gridSpan w:val="7"/>
            <w:tcBorders>
              <w:top w:val="nil"/>
              <w:left w:val="nil"/>
              <w:bottom w:val="nil"/>
              <w:right w:val="nil"/>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 </w:t>
            </w:r>
          </w:p>
        </w:tc>
      </w:tr>
      <w:tr w:rsidR="001F05FF">
        <w:tc>
          <w:tcPr>
            <w:tcW w:w="0" w:type="auto"/>
            <w:tcBorders>
              <w:top w:val="single" w:sz="6" w:space="0" w:color="auto"/>
              <w:bottom w:val="single" w:sz="6" w:space="0" w:color="auto"/>
              <w:right w:val="single" w:sz="6" w:space="0" w:color="auto"/>
            </w:tcBorders>
            <w:tcMar>
              <w:top w:w="12" w:type="dxa"/>
              <w:left w:w="12" w:type="dxa"/>
              <w:bottom w:w="12" w:type="dxa"/>
              <w:right w:w="12" w:type="dxa"/>
            </w:tcMar>
            <w:vAlign w:val="bottom"/>
          </w:tcPr>
          <w:p w:rsidR="001F05FF" w:rsidRDefault="001F05FF">
            <w:pPr>
              <w:widowControl/>
              <w:jc w:val="center"/>
              <w:rPr>
                <w:b/>
                <w:bCs/>
                <w:sz w:val="18"/>
                <w:szCs w:val="18"/>
              </w:rPr>
            </w:pPr>
            <w:r>
              <w:rPr>
                <w:b/>
                <w:bCs/>
                <w:sz w:val="18"/>
                <w:szCs w:val="18"/>
              </w:rPr>
              <w:br/>
              <w:t>Attribute</w:t>
            </w:r>
            <w:r>
              <w:rPr>
                <w:b/>
                <w:bCs/>
                <w:sz w:val="18"/>
                <w:szCs w:val="18"/>
              </w:rPr>
              <w:br/>
              <w:t xml:space="preserve">Name </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vAlign w:val="bottom"/>
          </w:tcPr>
          <w:p w:rsidR="001F05FF" w:rsidRDefault="001F05FF">
            <w:pPr>
              <w:widowControl/>
              <w:jc w:val="center"/>
              <w:rPr>
                <w:b/>
                <w:bCs/>
                <w:sz w:val="18"/>
                <w:szCs w:val="18"/>
              </w:rPr>
            </w:pPr>
            <w:r>
              <w:rPr>
                <w:b/>
                <w:bCs/>
                <w:sz w:val="18"/>
                <w:szCs w:val="18"/>
              </w:rPr>
              <w:t>Attribute</w:t>
            </w:r>
            <w:r>
              <w:rPr>
                <w:b/>
                <w:bCs/>
                <w:sz w:val="18"/>
                <w:szCs w:val="18"/>
              </w:rPr>
              <w:br/>
              <w:t xml:space="preserve">Short </w:t>
            </w:r>
            <w:r>
              <w:rPr>
                <w:b/>
                <w:bCs/>
                <w:sz w:val="18"/>
                <w:szCs w:val="18"/>
              </w:rPr>
              <w:br/>
              <w:t xml:space="preserve">Name </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vAlign w:val="bottom"/>
          </w:tcPr>
          <w:p w:rsidR="001F05FF" w:rsidRDefault="001F05FF">
            <w:pPr>
              <w:widowControl/>
              <w:jc w:val="center"/>
              <w:rPr>
                <w:b/>
                <w:bCs/>
                <w:sz w:val="18"/>
                <w:szCs w:val="18"/>
              </w:rPr>
            </w:pPr>
            <w:r>
              <w:rPr>
                <w:b/>
                <w:bCs/>
                <w:sz w:val="18"/>
                <w:szCs w:val="18"/>
              </w:rPr>
              <w:br/>
              <w:t xml:space="preserve">Attribute </w:t>
            </w:r>
            <w:r>
              <w:rPr>
                <w:b/>
                <w:bCs/>
                <w:sz w:val="18"/>
                <w:szCs w:val="18"/>
              </w:rPr>
              <w:br/>
              <w:t>Definition</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vAlign w:val="bottom"/>
          </w:tcPr>
          <w:p w:rsidR="001F05FF" w:rsidRDefault="001F05FF">
            <w:pPr>
              <w:widowControl/>
              <w:jc w:val="center"/>
              <w:rPr>
                <w:b/>
                <w:bCs/>
                <w:sz w:val="18"/>
                <w:szCs w:val="18"/>
              </w:rPr>
            </w:pPr>
            <w:r>
              <w:rPr>
                <w:b/>
                <w:bCs/>
                <w:sz w:val="18"/>
                <w:szCs w:val="18"/>
              </w:rPr>
              <w:br/>
            </w:r>
            <w:r>
              <w:rPr>
                <w:b/>
                <w:bCs/>
                <w:sz w:val="18"/>
                <w:szCs w:val="18"/>
              </w:rPr>
              <w:br/>
              <w:t>Domain</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vAlign w:val="bottom"/>
          </w:tcPr>
          <w:p w:rsidR="001F05FF" w:rsidRDefault="001F05FF">
            <w:pPr>
              <w:widowControl/>
              <w:jc w:val="center"/>
              <w:rPr>
                <w:b/>
                <w:bCs/>
                <w:sz w:val="18"/>
                <w:szCs w:val="18"/>
              </w:rPr>
            </w:pPr>
            <w:r>
              <w:rPr>
                <w:b/>
                <w:bCs/>
                <w:sz w:val="18"/>
                <w:szCs w:val="18"/>
              </w:rPr>
              <w:br/>
              <w:t xml:space="preserve">System </w:t>
            </w:r>
            <w:r>
              <w:rPr>
                <w:b/>
                <w:bCs/>
                <w:sz w:val="18"/>
                <w:szCs w:val="18"/>
              </w:rPr>
              <w:br/>
              <w:t>Characters</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vAlign w:val="bottom"/>
          </w:tcPr>
          <w:p w:rsidR="001F05FF" w:rsidRDefault="001F05FF">
            <w:pPr>
              <w:widowControl/>
              <w:jc w:val="center"/>
              <w:rPr>
                <w:b/>
                <w:bCs/>
                <w:sz w:val="18"/>
                <w:szCs w:val="18"/>
              </w:rPr>
            </w:pPr>
            <w:r>
              <w:rPr>
                <w:b/>
                <w:bCs/>
                <w:sz w:val="18"/>
                <w:szCs w:val="18"/>
              </w:rPr>
              <w:br/>
            </w:r>
            <w:r>
              <w:rPr>
                <w:b/>
                <w:bCs/>
                <w:sz w:val="18"/>
                <w:szCs w:val="18"/>
              </w:rPr>
              <w:br/>
              <w:t>Reference</w:t>
            </w:r>
          </w:p>
        </w:tc>
        <w:tc>
          <w:tcPr>
            <w:tcW w:w="0" w:type="auto"/>
            <w:tcBorders>
              <w:top w:val="single" w:sz="6" w:space="0" w:color="auto"/>
              <w:left w:val="single" w:sz="6" w:space="0" w:color="auto"/>
              <w:bottom w:val="single" w:sz="6" w:space="0" w:color="auto"/>
            </w:tcBorders>
            <w:tcMar>
              <w:top w:w="12" w:type="dxa"/>
              <w:left w:w="12" w:type="dxa"/>
              <w:bottom w:w="12" w:type="dxa"/>
              <w:right w:w="12" w:type="dxa"/>
            </w:tcMar>
            <w:vAlign w:val="bottom"/>
          </w:tcPr>
          <w:p w:rsidR="001F05FF" w:rsidRDefault="001F05FF">
            <w:pPr>
              <w:widowControl/>
              <w:jc w:val="center"/>
              <w:rPr>
                <w:b/>
                <w:bCs/>
                <w:sz w:val="18"/>
                <w:szCs w:val="18"/>
              </w:rPr>
            </w:pPr>
            <w:r>
              <w:rPr>
                <w:b/>
                <w:bCs/>
                <w:sz w:val="18"/>
                <w:szCs w:val="18"/>
              </w:rPr>
              <w:br/>
              <w:t>Supplied</w:t>
            </w:r>
            <w:r>
              <w:rPr>
                <w:b/>
                <w:bCs/>
                <w:sz w:val="18"/>
                <w:szCs w:val="18"/>
              </w:rPr>
              <w:br/>
              <w:t xml:space="preserve">By </w:t>
            </w:r>
          </w:p>
        </w:tc>
      </w:tr>
      <w:tr w:rsidR="001F05FF">
        <w:tc>
          <w:tcPr>
            <w:tcW w:w="112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Credit Cohort Year</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tcPr>
          <w:p w:rsidR="001F05FF" w:rsidRDefault="001F05FF">
            <w:pPr>
              <w:widowControl/>
              <w:rPr>
                <w:sz w:val="18"/>
                <w:szCs w:val="18"/>
              </w:rPr>
            </w:pPr>
            <w:r>
              <w:rPr>
                <w:sz w:val="18"/>
                <w:szCs w:val="18"/>
              </w:rPr>
              <w:t>Cohort Yr</w:t>
            </w:r>
          </w:p>
        </w:tc>
        <w:tc>
          <w:tcPr>
            <w:tcW w:w="230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Fiscal year when direct loans are obligated or guarantees committed by a program, even if disbursements occur in subsequent fiscal years.</w:t>
            </w:r>
          </w:p>
        </w:tc>
        <w:tc>
          <w:tcPr>
            <w:tcW w:w="1631"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color w:val="0000FF"/>
                <w:sz w:val="18"/>
                <w:szCs w:val="18"/>
                <w:u w:val="single" w:color="0000FF"/>
              </w:rPr>
              <w:t>1992-2014</w:t>
            </w:r>
            <w:r>
              <w:rPr>
                <w:strike/>
                <w:color w:val="FF0000"/>
                <w:sz w:val="20"/>
                <w:szCs w:val="20"/>
              </w:rPr>
              <w:t>1992 - Fiscal year when direct loans are obligated or guarantees committed by a program</w:t>
            </w:r>
            <w:r>
              <w:rPr>
                <w:shd w:val="clear" w:color="auto" w:fill="FFFFFF"/>
              </w:rPr>
              <w:br/>
            </w:r>
            <w:r>
              <w:rPr>
                <w:strike/>
                <w:color w:val="FF0000"/>
                <w:sz w:val="20"/>
                <w:szCs w:val="20"/>
              </w:rPr>
              <w:t>1993 - Fiscal year when direct loans are obligated or guarantees committed by a program</w:t>
            </w:r>
            <w:r>
              <w:rPr>
                <w:shd w:val="clear" w:color="auto" w:fill="FFFFFF"/>
              </w:rPr>
              <w:br/>
            </w:r>
            <w:r>
              <w:rPr>
                <w:strike/>
                <w:color w:val="FF0000"/>
                <w:sz w:val="20"/>
                <w:szCs w:val="20"/>
              </w:rPr>
              <w:t>1994 - Fiscal year when direct loans are obligated or guarantees committed by a program</w:t>
            </w:r>
            <w:r>
              <w:rPr>
                <w:shd w:val="clear" w:color="auto" w:fill="FFFFFF"/>
              </w:rPr>
              <w:br/>
            </w:r>
            <w:r>
              <w:rPr>
                <w:strike/>
                <w:color w:val="FF0000"/>
                <w:sz w:val="20"/>
                <w:szCs w:val="20"/>
              </w:rPr>
              <w:t>1995 - Fiscal year when direct loans are obligated or guarantees committed by a program</w:t>
            </w:r>
            <w:r>
              <w:rPr>
                <w:shd w:val="clear" w:color="auto" w:fill="FFFFFF"/>
              </w:rPr>
              <w:br/>
            </w:r>
            <w:r>
              <w:rPr>
                <w:strike/>
                <w:color w:val="FF0000"/>
                <w:sz w:val="20"/>
                <w:szCs w:val="20"/>
              </w:rPr>
              <w:t>1996 - Fiscal year when direct loans are obligated or guarantees committed by a program</w:t>
            </w:r>
            <w:r>
              <w:rPr>
                <w:shd w:val="clear" w:color="auto" w:fill="FFFFFF"/>
              </w:rPr>
              <w:br/>
            </w:r>
            <w:r>
              <w:rPr>
                <w:strike/>
                <w:color w:val="FF0000"/>
                <w:sz w:val="20"/>
                <w:szCs w:val="20"/>
              </w:rPr>
              <w:t>1997 - Fiscal year when direct loans are obligated or g uarantees committed by a program</w:t>
            </w:r>
            <w:r>
              <w:rPr>
                <w:shd w:val="clear" w:color="auto" w:fill="FFFFFF"/>
              </w:rPr>
              <w:br/>
            </w:r>
            <w:r>
              <w:rPr>
                <w:strike/>
                <w:color w:val="FF0000"/>
                <w:sz w:val="20"/>
                <w:szCs w:val="20"/>
              </w:rPr>
              <w:t>1998 - Fiscal year when direct loans are obligated or guarantees committed by a program</w:t>
            </w:r>
            <w:r>
              <w:rPr>
                <w:shd w:val="clear" w:color="auto" w:fill="FFFFFF"/>
              </w:rPr>
              <w:br/>
            </w:r>
            <w:r>
              <w:rPr>
                <w:strike/>
                <w:color w:val="FF0000"/>
                <w:sz w:val="20"/>
                <w:szCs w:val="20"/>
              </w:rPr>
              <w:t>1999 - Fiscal year when direct loans are obligated or guarantees committed by a program</w:t>
            </w:r>
            <w:r>
              <w:rPr>
                <w:shd w:val="clear" w:color="auto" w:fill="FFFFFF"/>
              </w:rPr>
              <w:br/>
            </w:r>
            <w:r>
              <w:rPr>
                <w:strike/>
                <w:color w:val="FF0000"/>
                <w:sz w:val="20"/>
                <w:szCs w:val="20"/>
              </w:rPr>
              <w:t>2000 - Fiscal year when direct loans are obligated or guarantees committed by a program</w:t>
            </w:r>
            <w:r>
              <w:rPr>
                <w:shd w:val="clear" w:color="auto" w:fill="FFFFFF"/>
              </w:rPr>
              <w:br/>
            </w:r>
            <w:r>
              <w:rPr>
                <w:strike/>
                <w:color w:val="FF0000"/>
                <w:sz w:val="20"/>
                <w:szCs w:val="20"/>
              </w:rPr>
              <w:t>2001 - Fiscal year when direct loans are obligated or guarantees committed by a program</w:t>
            </w:r>
            <w:r>
              <w:rPr>
                <w:shd w:val="clear" w:color="auto" w:fill="FFFFFF"/>
              </w:rPr>
              <w:br/>
            </w:r>
            <w:r>
              <w:rPr>
                <w:strike/>
                <w:color w:val="FF0000"/>
                <w:sz w:val="20"/>
                <w:szCs w:val="20"/>
              </w:rPr>
              <w:t>2002 - Fiscal year when direct loans are obligated or guarantees committed by a program</w:t>
            </w:r>
            <w:r>
              <w:rPr>
                <w:shd w:val="clear" w:color="auto" w:fill="FFFFFF"/>
              </w:rPr>
              <w:br/>
            </w:r>
            <w:r>
              <w:rPr>
                <w:strike/>
                <w:color w:val="FF0000"/>
                <w:sz w:val="20"/>
                <w:szCs w:val="20"/>
              </w:rPr>
              <w:t>2003 - Fiscal year when direct loans are obligated or guarantees committed by a program</w:t>
            </w:r>
            <w:r>
              <w:rPr>
                <w:shd w:val="clear" w:color="auto" w:fill="FFFFFF"/>
              </w:rPr>
              <w:br/>
            </w:r>
            <w:r>
              <w:rPr>
                <w:strike/>
                <w:color w:val="FF0000"/>
                <w:sz w:val="20"/>
                <w:szCs w:val="20"/>
              </w:rPr>
              <w:t>2004 - Fiscal year when direct loans are obligated or guarantees committed by a program</w:t>
            </w:r>
            <w:r>
              <w:rPr>
                <w:shd w:val="clear" w:color="auto" w:fill="FFFFFF"/>
              </w:rPr>
              <w:br/>
            </w:r>
            <w:r>
              <w:rPr>
                <w:strike/>
                <w:color w:val="FF0000"/>
                <w:sz w:val="20"/>
                <w:szCs w:val="20"/>
              </w:rPr>
              <w:t>2005 - Fiscal year when direct loans are obligated or guarantees committed by a program</w:t>
            </w:r>
            <w:r>
              <w:rPr>
                <w:shd w:val="clear" w:color="auto" w:fill="FFFFFF"/>
              </w:rPr>
              <w:br/>
            </w:r>
            <w:r>
              <w:rPr>
                <w:strike/>
                <w:color w:val="FF0000"/>
                <w:sz w:val="20"/>
                <w:szCs w:val="20"/>
              </w:rPr>
              <w:t>2006 - Fiscal year when direct loans are obligated or guarantees committed by a program</w:t>
            </w:r>
            <w:r>
              <w:rPr>
                <w:shd w:val="clear" w:color="auto" w:fill="FFFFFF"/>
              </w:rPr>
              <w:br/>
            </w:r>
            <w:r>
              <w:rPr>
                <w:strike/>
                <w:color w:val="FF0000"/>
                <w:sz w:val="20"/>
                <w:szCs w:val="20"/>
              </w:rPr>
              <w:t>2007 - Fiscal year when direct loans are obligated or guarantees committed by a program</w:t>
            </w:r>
            <w:r>
              <w:rPr>
                <w:shd w:val="clear" w:color="auto" w:fill="FFFFFF"/>
              </w:rPr>
              <w:br/>
            </w:r>
            <w:r>
              <w:rPr>
                <w:strike/>
                <w:color w:val="FF0000"/>
                <w:sz w:val="20"/>
                <w:szCs w:val="20"/>
              </w:rPr>
              <w:t>2008 - Fiscal year when direct loans are obligated or guarantees committed by a program</w:t>
            </w:r>
            <w:r>
              <w:rPr>
                <w:shd w:val="clear" w:color="auto" w:fill="FFFFFF"/>
              </w:rPr>
              <w:br/>
            </w:r>
            <w:r>
              <w:rPr>
                <w:strike/>
                <w:color w:val="FF0000"/>
                <w:sz w:val="20"/>
                <w:szCs w:val="20"/>
              </w:rPr>
              <w:t>2009 - Fiscal year when direct loans are obligated or guarantees committed by a program</w:t>
            </w:r>
            <w:r>
              <w:rPr>
                <w:shd w:val="clear" w:color="auto" w:fill="FFFFFF"/>
              </w:rPr>
              <w:br/>
            </w:r>
            <w:r>
              <w:rPr>
                <w:strike/>
                <w:color w:val="FF0000"/>
                <w:sz w:val="20"/>
                <w:szCs w:val="20"/>
              </w:rPr>
              <w:t>2010 - Fiscal year when direct loans are obligated or guarantees committed by a program</w:t>
            </w:r>
            <w:r>
              <w:rPr>
                <w:shd w:val="clear" w:color="auto" w:fill="FFFFFF"/>
              </w:rPr>
              <w:br/>
            </w:r>
            <w:r>
              <w:rPr>
                <w:strike/>
                <w:color w:val="FF0000"/>
                <w:sz w:val="20"/>
                <w:szCs w:val="20"/>
              </w:rPr>
              <w:t>2011 - Fiscal year when direct loans are obligated or guarantees committed by a program</w:t>
            </w:r>
            <w:r>
              <w:rPr>
                <w:shd w:val="clear" w:color="auto" w:fill="FFFFFF"/>
              </w:rPr>
              <w:br/>
            </w:r>
            <w:r>
              <w:rPr>
                <w:strike/>
                <w:color w:val="FF0000"/>
                <w:sz w:val="20"/>
                <w:szCs w:val="20"/>
              </w:rPr>
              <w:t>2012 - Fiscal year when direct loans are obligated or guarantees committed by a program.</w:t>
            </w:r>
            <w:r>
              <w:rPr>
                <w:shd w:val="clear" w:color="auto" w:fill="FFFFFF"/>
              </w:rPr>
              <w:br/>
            </w:r>
            <w:r>
              <w:rPr>
                <w:strike/>
                <w:color w:val="FF0000"/>
                <w:sz w:val="20"/>
                <w:szCs w:val="20"/>
              </w:rPr>
              <w:t>2013 - Fiscal year when direct loans are obligated or guarantees committed by a program</w:t>
            </w:r>
            <w:r>
              <w:rPr>
                <w:shd w:val="clear" w:color="auto" w:fill="FFFFFF"/>
              </w:rPr>
              <w:br/>
            </w:r>
            <w:r>
              <w:rPr>
                <w:strike/>
                <w:color w:val="FF0000"/>
                <w:sz w:val="20"/>
                <w:szCs w:val="20"/>
              </w:rPr>
              <w:t>2014 - Fiscal year when direct loans are obligated or guarantees committed by a program</w:t>
            </w:r>
          </w:p>
        </w:tc>
        <w:tc>
          <w:tcPr>
            <w:tcW w:w="88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4/N</w:t>
            </w:r>
          </w:p>
        </w:tc>
        <w:tc>
          <w:tcPr>
            <w:tcW w:w="79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OMB Circ. No. A-11</w:t>
            </w:r>
          </w:p>
        </w:tc>
        <w:tc>
          <w:tcPr>
            <w:tcW w:w="705"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Bulk File</w:t>
            </w:r>
          </w:p>
        </w:tc>
      </w:tr>
      <w:tr w:rsidR="001F05FF">
        <w:tc>
          <w:tcPr>
            <w:tcW w:w="112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Federal Non-Federal Code</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tcPr>
          <w:p w:rsidR="001F05FF" w:rsidRDefault="001F05FF">
            <w:pPr>
              <w:widowControl/>
              <w:rPr>
                <w:sz w:val="18"/>
                <w:szCs w:val="18"/>
              </w:rPr>
            </w:pPr>
            <w:r>
              <w:rPr>
                <w:sz w:val="18"/>
                <w:szCs w:val="18"/>
              </w:rPr>
              <w:t>Fed/NonFed</w:t>
            </w:r>
          </w:p>
        </w:tc>
        <w:tc>
          <w:tcPr>
            <w:tcW w:w="230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 xml:space="preserve">Indicates the type of entity involved in transactions with the reporting entity: other Federal entities (F); non-Federal entities such as private/local/state/tribal/foreign governments (N), exceptions for other non-Federal partners (E), </w:t>
            </w:r>
            <w:r>
              <w:rPr>
                <w:color w:val="0000FF"/>
                <w:sz w:val="18"/>
                <w:szCs w:val="18"/>
                <w:u w:val="single" w:color="0000FF"/>
              </w:rPr>
              <w:t xml:space="preserve">unidentified Federal activity that does not have a trading partner (Z), </w:t>
            </w:r>
            <w:r>
              <w:rPr>
                <w:sz w:val="18"/>
                <w:szCs w:val="18"/>
              </w:rPr>
              <w:t>or General Fund only</w:t>
            </w:r>
            <w:r>
              <w:rPr>
                <w:strike/>
                <w:color w:val="FF0000"/>
                <w:sz w:val="20"/>
                <w:szCs w:val="20"/>
              </w:rPr>
              <w:t>,</w:t>
            </w:r>
            <w:r>
              <w:rPr>
                <w:sz w:val="18"/>
                <w:szCs w:val="18"/>
              </w:rPr>
              <w:t xml:space="preserve"> </w:t>
            </w:r>
            <w:r>
              <w:rPr>
                <w:color w:val="0000FF"/>
                <w:sz w:val="18"/>
                <w:szCs w:val="18"/>
                <w:u w:val="single" w:color="0000FF"/>
              </w:rPr>
              <w:t>(</w:t>
            </w:r>
            <w:r>
              <w:rPr>
                <w:sz w:val="18"/>
                <w:szCs w:val="18"/>
              </w:rPr>
              <w:t>G</w:t>
            </w:r>
            <w:r>
              <w:rPr>
                <w:color w:val="0000FF"/>
                <w:sz w:val="18"/>
                <w:szCs w:val="18"/>
                <w:u w:val="single" w:color="0000FF"/>
              </w:rPr>
              <w:t>)</w:t>
            </w:r>
            <w:r>
              <w:rPr>
                <w:sz w:val="18"/>
                <w:szCs w:val="18"/>
              </w:rPr>
              <w:t>.</w:t>
            </w:r>
          </w:p>
        </w:tc>
        <w:tc>
          <w:tcPr>
            <w:tcW w:w="1631"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E - Non Federal Exception</w:t>
            </w:r>
            <w:r>
              <w:rPr>
                <w:sz w:val="18"/>
                <w:szCs w:val="18"/>
              </w:rPr>
              <w:br/>
              <w:t>F - Federal</w:t>
            </w:r>
            <w:r>
              <w:rPr>
                <w:sz w:val="18"/>
                <w:szCs w:val="18"/>
              </w:rPr>
              <w:br/>
              <w:t>G - General Fund Only</w:t>
            </w:r>
            <w:r>
              <w:rPr>
                <w:sz w:val="18"/>
                <w:szCs w:val="18"/>
              </w:rPr>
              <w:br/>
              <w:t>N - Non Federal</w:t>
            </w:r>
            <w:r>
              <w:rPr>
                <w:sz w:val="18"/>
                <w:szCs w:val="18"/>
              </w:rPr>
              <w:br/>
            </w:r>
            <w:r>
              <w:rPr>
                <w:color w:val="0000FF"/>
                <w:sz w:val="18"/>
                <w:szCs w:val="18"/>
                <w:u w:val="single" w:color="0000FF"/>
              </w:rPr>
              <w:t>Z - Unidentified Federal Activity</w:t>
            </w:r>
          </w:p>
        </w:tc>
        <w:tc>
          <w:tcPr>
            <w:tcW w:w="88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1/A</w:t>
            </w:r>
          </w:p>
        </w:tc>
        <w:tc>
          <w:tcPr>
            <w:tcW w:w="79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SFFAS #7, TFM</w:t>
            </w:r>
          </w:p>
        </w:tc>
        <w:tc>
          <w:tcPr>
            <w:tcW w:w="705"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Bulk File</w:t>
            </w:r>
          </w:p>
        </w:tc>
      </w:tr>
      <w:tr w:rsidR="001F05FF">
        <w:tc>
          <w:tcPr>
            <w:tcW w:w="1124" w:type="dxa"/>
            <w:tcBorders>
              <w:top w:val="single" w:sz="2" w:space="0" w:color="auto"/>
              <w:left w:val="single" w:sz="2" w:space="0" w:color="auto"/>
              <w:bottom w:val="single" w:sz="2" w:space="0" w:color="auto"/>
              <w:right w:val="single" w:sz="2" w:space="0" w:color="auto"/>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Reduction Type Code</w:t>
            </w:r>
          </w:p>
        </w:tc>
        <w:tc>
          <w:tcPr>
            <w:tcW w:w="0" w:type="auto"/>
            <w:tcBorders>
              <w:top w:val="single" w:sz="6" w:space="0" w:color="auto"/>
              <w:left w:val="single" w:sz="6" w:space="0" w:color="auto"/>
              <w:bottom w:val="single" w:sz="6" w:space="0" w:color="auto"/>
              <w:right w:val="single" w:sz="6" w:space="0" w:color="auto"/>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Reduction Type</w:t>
            </w:r>
          </w:p>
        </w:tc>
        <w:tc>
          <w:tcPr>
            <w:tcW w:w="2304" w:type="dxa"/>
            <w:tcBorders>
              <w:top w:val="single" w:sz="2" w:space="0" w:color="auto"/>
              <w:left w:val="single" w:sz="2" w:space="0" w:color="auto"/>
              <w:bottom w:val="single" w:sz="2" w:space="0" w:color="auto"/>
              <w:right w:val="single" w:sz="2" w:space="0" w:color="auto"/>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The code representing the type of reduction being reported (e.g., Across The Board, Sequestration or Other) in detailed financial information. The domain values for FY 2013 are in the Domain column. The domain values may change in subsequent fiscal years or as a result of new, enacted legislation.</w:t>
            </w:r>
          </w:p>
        </w:tc>
        <w:tc>
          <w:tcPr>
            <w:tcW w:w="1631" w:type="dxa"/>
            <w:tcBorders>
              <w:top w:val="single" w:sz="2" w:space="0" w:color="auto"/>
              <w:left w:val="single" w:sz="2" w:space="0" w:color="auto"/>
              <w:bottom w:val="single" w:sz="2" w:space="0" w:color="auto"/>
              <w:right w:val="single" w:sz="2" w:space="0" w:color="auto"/>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AB1 - ATB1</w:t>
            </w:r>
            <w:r>
              <w:rPr>
                <w:sz w:val="18"/>
                <w:szCs w:val="18"/>
              </w:rPr>
              <w:br/>
            </w:r>
            <w:r>
              <w:rPr>
                <w:color w:val="0000FF"/>
                <w:sz w:val="18"/>
                <w:szCs w:val="18"/>
                <w:u w:val="single" w:color="0000FF"/>
              </w:rPr>
              <w:t>AB2 - ATB2</w:t>
            </w:r>
            <w:r>
              <w:rPr>
                <w:sz w:val="18"/>
                <w:szCs w:val="18"/>
              </w:rPr>
              <w:br/>
            </w:r>
            <w:r>
              <w:rPr>
                <w:color w:val="0000FF"/>
                <w:sz w:val="18"/>
                <w:szCs w:val="18"/>
                <w:u w:val="single" w:color="0000FF"/>
              </w:rPr>
              <w:t>AB3 - ATB3</w:t>
            </w:r>
            <w:r>
              <w:rPr>
                <w:sz w:val="18"/>
                <w:szCs w:val="18"/>
              </w:rPr>
              <w:br/>
            </w:r>
            <w:r>
              <w:rPr>
                <w:color w:val="0000FF"/>
                <w:sz w:val="18"/>
                <w:szCs w:val="18"/>
                <w:u w:val="single" w:color="0000FF"/>
              </w:rPr>
              <w:t>AB4 - ATB4</w:t>
            </w:r>
            <w:r>
              <w:rPr>
                <w:sz w:val="18"/>
                <w:szCs w:val="18"/>
              </w:rPr>
              <w:br/>
            </w:r>
            <w:r>
              <w:rPr>
                <w:color w:val="0000FF"/>
                <w:sz w:val="18"/>
                <w:szCs w:val="18"/>
                <w:u w:val="single" w:color="0000FF"/>
              </w:rPr>
              <w:t>AB5 - ATB5</w:t>
            </w:r>
            <w:r>
              <w:rPr>
                <w:sz w:val="18"/>
                <w:szCs w:val="18"/>
              </w:rPr>
              <w:br/>
            </w:r>
            <w:r>
              <w:rPr>
                <w:color w:val="0000FF"/>
                <w:sz w:val="18"/>
                <w:szCs w:val="18"/>
                <w:u w:val="single" w:color="0000FF"/>
              </w:rPr>
              <w:t>SQ1 - March 1st Sequestration</w:t>
            </w:r>
            <w:r>
              <w:rPr>
                <w:sz w:val="18"/>
                <w:szCs w:val="18"/>
              </w:rPr>
              <w:br/>
            </w:r>
            <w:r>
              <w:rPr>
                <w:color w:val="0000FF"/>
                <w:sz w:val="18"/>
                <w:szCs w:val="18"/>
                <w:u w:val="single" w:color="0000FF"/>
              </w:rPr>
              <w:t>OTR - OTHER</w:t>
            </w:r>
          </w:p>
        </w:tc>
        <w:tc>
          <w:tcPr>
            <w:tcW w:w="884" w:type="dxa"/>
            <w:tcBorders>
              <w:top w:val="single" w:sz="2" w:space="0" w:color="auto"/>
              <w:left w:val="single" w:sz="2" w:space="0" w:color="auto"/>
              <w:bottom w:val="single" w:sz="2" w:space="0" w:color="auto"/>
              <w:right w:val="single" w:sz="2" w:space="0" w:color="auto"/>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3/A</w:t>
            </w:r>
          </w:p>
        </w:tc>
        <w:tc>
          <w:tcPr>
            <w:tcW w:w="794" w:type="dxa"/>
            <w:tcBorders>
              <w:top w:val="single" w:sz="2" w:space="0" w:color="auto"/>
              <w:left w:val="single" w:sz="2" w:space="0" w:color="auto"/>
              <w:bottom w:val="single" w:sz="2" w:space="0" w:color="auto"/>
              <w:right w:val="single" w:sz="2" w:space="0" w:color="auto"/>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OMB Circ. No. A-11</w:t>
            </w:r>
          </w:p>
        </w:tc>
        <w:tc>
          <w:tcPr>
            <w:tcW w:w="705" w:type="dxa"/>
            <w:tcBorders>
              <w:top w:val="single" w:sz="2" w:space="0" w:color="auto"/>
              <w:left w:val="single" w:sz="2" w:space="0" w:color="auto"/>
              <w:bottom w:val="single" w:sz="2" w:space="0" w:color="auto"/>
              <w:right w:val="single" w:sz="2" w:space="0" w:color="auto"/>
            </w:tcBorders>
            <w:shd w:val="clear" w:color="auto" w:fill="E6E6FA"/>
            <w:tcMar>
              <w:top w:w="12" w:type="dxa"/>
              <w:left w:w="12" w:type="dxa"/>
              <w:bottom w:w="12" w:type="dxa"/>
              <w:right w:w="12" w:type="dxa"/>
            </w:tcMar>
          </w:tcPr>
          <w:p w:rsidR="001F05FF" w:rsidRDefault="001F05FF">
            <w:pPr>
              <w:widowControl/>
              <w:rPr>
                <w:color w:val="0000FF"/>
                <w:sz w:val="18"/>
                <w:szCs w:val="18"/>
                <w:u w:val="single" w:color="0000FF"/>
              </w:rPr>
            </w:pPr>
            <w:r>
              <w:rPr>
                <w:color w:val="0000FF"/>
                <w:sz w:val="18"/>
                <w:szCs w:val="18"/>
                <w:u w:val="single" w:color="0000FF"/>
              </w:rPr>
              <w:t>Bulk File</w:t>
            </w:r>
          </w:p>
        </w:tc>
      </w:tr>
      <w:tr w:rsidR="001F05FF">
        <w:tc>
          <w:tcPr>
            <w:tcW w:w="112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Reporting Type Code</w:t>
            </w:r>
          </w:p>
        </w:tc>
        <w:tc>
          <w:tcPr>
            <w:tcW w:w="0" w:type="auto"/>
            <w:tcBorders>
              <w:top w:val="single" w:sz="6" w:space="0" w:color="auto"/>
              <w:left w:val="single" w:sz="6" w:space="0" w:color="auto"/>
              <w:bottom w:val="single" w:sz="6" w:space="0" w:color="auto"/>
              <w:right w:val="single" w:sz="6" w:space="0" w:color="auto"/>
            </w:tcBorders>
            <w:tcMar>
              <w:top w:w="12" w:type="dxa"/>
              <w:left w:w="12" w:type="dxa"/>
              <w:bottom w:w="12" w:type="dxa"/>
              <w:right w:w="12" w:type="dxa"/>
            </w:tcMar>
          </w:tcPr>
          <w:p w:rsidR="001F05FF" w:rsidRDefault="001F05FF">
            <w:pPr>
              <w:widowControl/>
              <w:rPr>
                <w:sz w:val="18"/>
                <w:szCs w:val="18"/>
              </w:rPr>
            </w:pPr>
            <w:r>
              <w:rPr>
                <w:sz w:val="18"/>
                <w:szCs w:val="18"/>
              </w:rPr>
              <w:t>Reporting Type Code</w:t>
            </w:r>
          </w:p>
        </w:tc>
        <w:tc>
          <w:tcPr>
            <w:tcW w:w="230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Indicates at the TAS level activity related to non-Federal ownership interest or statutory dedication of specifically identified revenues to designated activities.</w:t>
            </w:r>
          </w:p>
        </w:tc>
        <w:tc>
          <w:tcPr>
            <w:tcW w:w="1631"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 xml:space="preserve">E - </w:t>
            </w:r>
            <w:r>
              <w:rPr>
                <w:strike/>
                <w:color w:val="FF0000"/>
                <w:sz w:val="20"/>
                <w:szCs w:val="20"/>
              </w:rPr>
              <w:t>Earmarked</w:t>
            </w:r>
            <w:r>
              <w:rPr>
                <w:color w:val="0000FF"/>
                <w:sz w:val="18"/>
                <w:szCs w:val="18"/>
                <w:u w:val="single" w:color="0000FF"/>
              </w:rPr>
              <w:t>Dedicated Collection</w:t>
            </w:r>
            <w:r>
              <w:rPr>
                <w:sz w:val="18"/>
                <w:szCs w:val="18"/>
              </w:rPr>
              <w:br/>
              <w:t>F - Fiduciary</w:t>
            </w:r>
            <w:r>
              <w:rPr>
                <w:sz w:val="18"/>
                <w:szCs w:val="18"/>
              </w:rPr>
              <w:br/>
              <w:t>U - Undesignated</w:t>
            </w:r>
          </w:p>
        </w:tc>
        <w:tc>
          <w:tcPr>
            <w:tcW w:w="88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1/A</w:t>
            </w:r>
          </w:p>
        </w:tc>
        <w:tc>
          <w:tcPr>
            <w:tcW w:w="794"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SFFAS 27</w:t>
            </w:r>
          </w:p>
        </w:tc>
        <w:tc>
          <w:tcPr>
            <w:tcW w:w="705" w:type="dxa"/>
            <w:tcBorders>
              <w:top w:val="single" w:sz="2" w:space="0" w:color="auto"/>
              <w:left w:val="single" w:sz="2" w:space="0" w:color="auto"/>
              <w:bottom w:val="single" w:sz="2" w:space="0" w:color="auto"/>
              <w:right w:val="single" w:sz="2" w:space="0" w:color="auto"/>
            </w:tcBorders>
            <w:tcMar>
              <w:top w:w="12" w:type="dxa"/>
              <w:left w:w="12" w:type="dxa"/>
              <w:bottom w:w="12" w:type="dxa"/>
              <w:right w:w="12" w:type="dxa"/>
            </w:tcMar>
          </w:tcPr>
          <w:p w:rsidR="001F05FF" w:rsidRDefault="001F05FF">
            <w:pPr>
              <w:widowControl/>
              <w:rPr>
                <w:sz w:val="18"/>
                <w:szCs w:val="18"/>
              </w:rPr>
            </w:pPr>
            <w:r>
              <w:rPr>
                <w:sz w:val="18"/>
                <w:szCs w:val="18"/>
              </w:rPr>
              <w:t>TAS</w:t>
            </w:r>
          </w:p>
        </w:tc>
      </w:tr>
    </w:tbl>
    <w:p w:rsidR="001F05FF" w:rsidRDefault="001F05FF">
      <w:pPr>
        <w:widowControl/>
      </w:pPr>
    </w:p>
    <w:p w:rsidR="001F05FF" w:rsidRDefault="001F05FF">
      <w:pPr>
        <w:widowControl/>
      </w:pPr>
    </w:p>
    <w:p w:rsidR="001F05FF" w:rsidRDefault="001F05FF">
      <w:pPr>
        <w:rPr>
          <w:shd w:val="clear" w:color="auto" w:fill="FFFFFF"/>
        </w:rPr>
        <w:sectPr w:rsidR="001F05FF">
          <w:headerReference w:type="default" r:id="rId6"/>
          <w:footerReference w:type="default" r:id="rId7"/>
          <w:pgSz w:w="12240" w:h="15840"/>
          <w:pgMar w:top="1440" w:right="1440" w:bottom="1440" w:left="1440" w:header="720" w:footer="720" w:gutter="0"/>
          <w:cols w:space="720"/>
          <w:noEndnote/>
        </w:sectPr>
      </w:pPr>
    </w:p>
    <w:p w:rsidR="001F05FF" w:rsidRDefault="001F05FF">
      <w:pPr>
        <w:widowControl/>
      </w:pPr>
    </w:p>
    <w:sectPr w:rsidR="001F05FF" w:rsidSect="00F06267">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FF" w:rsidRDefault="001F05FF">
      <w:r>
        <w:separator/>
      </w:r>
    </w:p>
  </w:endnote>
  <w:endnote w:type="continuationSeparator" w:id="0">
    <w:p w:rsidR="001F05FF" w:rsidRDefault="001F0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00"/>
    </w:tblPr>
    <w:tblGrid>
      <w:gridCol w:w="2947"/>
      <w:gridCol w:w="3236"/>
      <w:gridCol w:w="3285"/>
    </w:tblGrid>
    <w:tr w:rsidR="001F05FF">
      <w:tc>
        <w:tcPr>
          <w:tcW w:w="4284" w:type="dxa"/>
          <w:tcBorders>
            <w:top w:val="nil"/>
            <w:left w:val="nil"/>
            <w:bottom w:val="nil"/>
            <w:right w:val="nil"/>
          </w:tcBorders>
          <w:shd w:val="clear" w:color="auto" w:fill="FFDEAD"/>
          <w:tcMar>
            <w:top w:w="0" w:type="dxa"/>
            <w:left w:w="108" w:type="dxa"/>
            <w:bottom w:w="0" w:type="dxa"/>
            <w:right w:w="108" w:type="dxa"/>
          </w:tcMar>
        </w:tcPr>
        <w:p w:rsidR="001F05FF" w:rsidRDefault="001F05FF">
          <w:pPr>
            <w:pStyle w:val="Footer"/>
            <w:widowControl/>
            <w:tabs>
              <w:tab w:val="center" w:pos="4320"/>
              <w:tab w:val="right" w:pos="8640"/>
              <w:tab w:val="left" w:pos="9060"/>
            </w:tabs>
            <w:rPr>
              <w:rFonts w:ascii="Arial" w:hAnsi="Arial" w:cs="Arial"/>
              <w:b/>
              <w:bCs/>
              <w:strike/>
              <w:color w:val="FF0000"/>
              <w:sz w:val="20"/>
              <w:szCs w:val="20"/>
            </w:rPr>
          </w:pPr>
        </w:p>
      </w:tc>
      <w:tc>
        <w:tcPr>
          <w:tcW w:w="4392" w:type="dxa"/>
          <w:tcBorders>
            <w:top w:val="nil"/>
            <w:left w:val="nil"/>
            <w:bottom w:val="nil"/>
            <w:right w:val="nil"/>
          </w:tcBorders>
          <w:shd w:val="clear" w:color="auto" w:fill="FFDEAD"/>
          <w:tcMar>
            <w:top w:w="0" w:type="dxa"/>
            <w:left w:w="108" w:type="dxa"/>
            <w:bottom w:w="0" w:type="dxa"/>
            <w:right w:w="108" w:type="dxa"/>
          </w:tcMar>
        </w:tcPr>
        <w:p w:rsidR="001F05FF" w:rsidRPr="00264C01" w:rsidRDefault="001F05FF">
          <w:pPr>
            <w:pStyle w:val="Footer"/>
            <w:widowControl/>
            <w:tabs>
              <w:tab w:val="center" w:pos="4320"/>
              <w:tab w:val="right" w:pos="8640"/>
              <w:tab w:val="left" w:pos="9060"/>
            </w:tabs>
            <w:jc w:val="center"/>
            <w:rPr>
              <w:rFonts w:ascii="Arial" w:hAnsi="Arial" w:cs="Arial"/>
              <w:b/>
              <w:bCs/>
              <w:sz w:val="20"/>
              <w:szCs w:val="20"/>
            </w:rPr>
          </w:pPr>
          <w:r>
            <w:rPr>
              <w:rFonts w:ascii="Arial" w:hAnsi="Arial" w:cs="Arial"/>
              <w:b/>
              <w:bCs/>
              <w:sz w:val="20"/>
              <w:szCs w:val="20"/>
            </w:rPr>
            <w:t>DRAFT</w:t>
          </w:r>
        </w:p>
      </w:tc>
      <w:tc>
        <w:tcPr>
          <w:tcW w:w="4392" w:type="dxa"/>
          <w:tcBorders>
            <w:top w:val="nil"/>
            <w:left w:val="nil"/>
            <w:bottom w:val="nil"/>
            <w:right w:val="nil"/>
          </w:tcBorders>
          <w:shd w:val="clear" w:color="auto" w:fill="FFDEAD"/>
          <w:tcMar>
            <w:top w:w="0" w:type="dxa"/>
            <w:left w:w="108" w:type="dxa"/>
            <w:bottom w:w="0" w:type="dxa"/>
            <w:right w:w="108" w:type="dxa"/>
          </w:tcMar>
        </w:tcPr>
        <w:p w:rsidR="001F05FF" w:rsidRDefault="001F05FF">
          <w:pPr>
            <w:pStyle w:val="Footer"/>
            <w:widowControl/>
            <w:tabs>
              <w:tab w:val="center" w:pos="4320"/>
              <w:tab w:val="right" w:pos="8640"/>
              <w:tab w:val="left" w:pos="9060"/>
            </w:tabs>
            <w:jc w:val="right"/>
            <w:rPr>
              <w:rStyle w:val="PageNumber"/>
            </w:rPr>
          </w:pPr>
          <w:r>
            <w:rPr>
              <w:rStyle w:val="PageNumber"/>
            </w:rPr>
            <w:t>IRC Handout 6-13-13</w:t>
          </w:r>
        </w:p>
        <w:p w:rsidR="001F05FF" w:rsidRDefault="001F05FF">
          <w:pPr>
            <w:pStyle w:val="Footer"/>
            <w:widowControl/>
            <w:tabs>
              <w:tab w:val="center" w:pos="4320"/>
              <w:tab w:val="right" w:pos="8640"/>
              <w:tab w:val="left" w:pos="9060"/>
            </w:tabs>
            <w:jc w:val="right"/>
            <w:rPr>
              <w:rFonts w:ascii="Arial" w:hAnsi="Arial" w:cs="Arial"/>
              <w:b/>
              <w:bCs/>
              <w:strike/>
              <w:color w:val="FF0000"/>
              <w:sz w:val="20"/>
              <w:szCs w:val="20"/>
            </w:rPr>
          </w:pPr>
          <w:r>
            <w:rPr>
              <w:rStyle w:val="PageNumber"/>
            </w:rPr>
            <w:t xml:space="preserve">Pg.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tc>
    </w:tr>
  </w:tbl>
  <w:p w:rsidR="001F05FF" w:rsidRDefault="001F05FF">
    <w:pPr>
      <w:pStyle w:val="Footer"/>
      <w:widowControl/>
      <w:tabs>
        <w:tab w:val="center" w:pos="4320"/>
        <w:tab w:val="right" w:pos="8640"/>
        <w:tab w:val="left" w:pos="9060"/>
      </w:tabs>
      <w:rPr>
        <w:rFonts w:ascii="Arial" w:hAnsi="Arial" w:cs="Arial"/>
        <w:b/>
        <w:bCs/>
        <w:color w:val="FF0000"/>
        <w:sz w:val="20"/>
        <w:szCs w:val="20"/>
      </w:rPr>
    </w:pPr>
    <w:r>
      <w:rPr>
        <w:rFonts w:ascii="Arial" w:hAnsi="Arial" w:cs="Arial"/>
        <w:b/>
        <w:bCs/>
        <w:sz w:val="20"/>
        <w:szCs w:val="20"/>
      </w:rPr>
      <w:tab/>
    </w:r>
  </w:p>
  <w:p w:rsidR="001F05FF" w:rsidRDefault="001F05FF">
    <w:pPr>
      <w:rPr>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FF" w:rsidRDefault="001F05FF"/>
  <w:p w:rsidR="001F05FF" w:rsidRDefault="001F05F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FF" w:rsidRDefault="001F05FF"/>
  <w:p w:rsidR="001F05FF" w:rsidRDefault="001F05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FF" w:rsidRDefault="001F05FF">
      <w:r>
        <w:separator/>
      </w:r>
    </w:p>
  </w:footnote>
  <w:footnote w:type="continuationSeparator" w:id="0">
    <w:p w:rsidR="001F05FF" w:rsidRDefault="001F0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FF" w:rsidRDefault="001F05FF">
    <w:pPr>
      <w:pStyle w:val="Header"/>
      <w:widowControl/>
      <w:tabs>
        <w:tab w:val="center" w:pos="4320"/>
        <w:tab w:val="right" w:pos="8640"/>
      </w:tabs>
      <w:rPr>
        <w:color w:val="FF0000"/>
      </w:rPr>
    </w:pPr>
  </w:p>
  <w:p w:rsidR="001F05FF" w:rsidRDefault="001F05FF">
    <w:pPr>
      <w:rPr>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FF" w:rsidRDefault="001F05FF"/>
  <w:p w:rsidR="001F05FF" w:rsidRDefault="001F05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FF" w:rsidRPr="00C052D7" w:rsidRDefault="001F05FF" w:rsidP="00C052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635"/>
    <w:rsid w:val="00085F25"/>
    <w:rsid w:val="000C51E3"/>
    <w:rsid w:val="00186A9F"/>
    <w:rsid w:val="001C3635"/>
    <w:rsid w:val="001F05FF"/>
    <w:rsid w:val="00264C01"/>
    <w:rsid w:val="00672A65"/>
    <w:rsid w:val="00A60E65"/>
    <w:rsid w:val="00A81150"/>
    <w:rsid w:val="00C052D7"/>
    <w:rsid w:val="00EA2D38"/>
    <w:rsid w:val="00F06267"/>
    <w:rsid w:val="00FD73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25"/>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F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1E3"/>
    <w:rPr>
      <w:sz w:val="2"/>
      <w:szCs w:val="2"/>
    </w:rPr>
  </w:style>
  <w:style w:type="paragraph" w:customStyle="1" w:styleId="tbody">
    <w:name w:val="tbody"/>
    <w:uiPriority w:val="99"/>
    <w:rsid w:val="00085F25"/>
    <w:pPr>
      <w:widowControl w:val="0"/>
      <w:autoSpaceDE w:val="0"/>
      <w:autoSpaceDN w:val="0"/>
      <w:adjustRightInd w:val="0"/>
      <w:spacing w:before="100" w:after="100"/>
    </w:pPr>
    <w:rPr>
      <w:sz w:val="16"/>
      <w:szCs w:val="16"/>
    </w:rPr>
  </w:style>
  <w:style w:type="paragraph" w:customStyle="1" w:styleId="tcol1">
    <w:name w:val="tcol1"/>
    <w:uiPriority w:val="99"/>
    <w:rsid w:val="00085F25"/>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pPr>
    <w:rPr>
      <w:sz w:val="24"/>
      <w:szCs w:val="24"/>
    </w:rPr>
  </w:style>
  <w:style w:type="paragraph" w:customStyle="1" w:styleId="tcol2">
    <w:name w:val="tcol2"/>
    <w:uiPriority w:val="99"/>
    <w:rsid w:val="00085F25"/>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pPr>
    <w:rPr>
      <w:sz w:val="24"/>
      <w:szCs w:val="24"/>
    </w:rPr>
  </w:style>
  <w:style w:type="paragraph" w:customStyle="1" w:styleId="tcol3">
    <w:name w:val="tcol3"/>
    <w:uiPriority w:val="99"/>
    <w:rsid w:val="00085F25"/>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pPr>
    <w:rPr>
      <w:sz w:val="24"/>
      <w:szCs w:val="24"/>
    </w:rPr>
  </w:style>
  <w:style w:type="paragraph" w:customStyle="1" w:styleId="tcol4">
    <w:name w:val="tcol4"/>
    <w:uiPriority w:val="99"/>
    <w:rsid w:val="00085F25"/>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pPr>
    <w:rPr>
      <w:sz w:val="24"/>
      <w:szCs w:val="24"/>
    </w:rPr>
  </w:style>
  <w:style w:type="paragraph" w:customStyle="1" w:styleId="tcol5">
    <w:name w:val="tcol5"/>
    <w:uiPriority w:val="99"/>
    <w:rsid w:val="00085F25"/>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pPr>
    <w:rPr>
      <w:sz w:val="24"/>
      <w:szCs w:val="24"/>
    </w:rPr>
  </w:style>
  <w:style w:type="paragraph" w:customStyle="1" w:styleId="tcol6">
    <w:name w:val="tcol6"/>
    <w:uiPriority w:val="99"/>
    <w:rsid w:val="00085F25"/>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pPr>
    <w:rPr>
      <w:sz w:val="24"/>
      <w:szCs w:val="24"/>
    </w:rPr>
  </w:style>
  <w:style w:type="paragraph" w:customStyle="1" w:styleId="tcol7">
    <w:name w:val="tcol7"/>
    <w:uiPriority w:val="99"/>
    <w:rsid w:val="00085F25"/>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100" w:after="100"/>
    </w:pPr>
    <w:rPr>
      <w:sz w:val="24"/>
      <w:szCs w:val="24"/>
    </w:rPr>
  </w:style>
  <w:style w:type="paragraph" w:customStyle="1" w:styleId="thead0">
    <w:name w:val="thead0"/>
    <w:uiPriority w:val="99"/>
    <w:rsid w:val="00085F25"/>
    <w:pPr>
      <w:widowControl w:val="0"/>
      <w:autoSpaceDE w:val="0"/>
      <w:autoSpaceDN w:val="0"/>
      <w:adjustRightInd w:val="0"/>
      <w:spacing w:before="100" w:after="100"/>
    </w:pPr>
    <w:rPr>
      <w:sz w:val="24"/>
      <w:szCs w:val="24"/>
    </w:rPr>
  </w:style>
  <w:style w:type="paragraph" w:customStyle="1" w:styleId="thead1">
    <w:name w:val="thead1"/>
    <w:uiPriority w:val="99"/>
    <w:rsid w:val="00085F25"/>
    <w:pPr>
      <w:widowControl w:val="0"/>
      <w:autoSpaceDE w:val="0"/>
      <w:autoSpaceDN w:val="0"/>
      <w:adjustRightInd w:val="0"/>
      <w:spacing w:before="100" w:after="100"/>
    </w:pPr>
    <w:rPr>
      <w:b/>
      <w:bCs/>
      <w:sz w:val="24"/>
      <w:szCs w:val="24"/>
    </w:rPr>
  </w:style>
  <w:style w:type="paragraph" w:customStyle="1" w:styleId="thead2">
    <w:name w:val="thead2"/>
    <w:uiPriority w:val="99"/>
    <w:rsid w:val="00085F25"/>
    <w:pPr>
      <w:widowControl w:val="0"/>
      <w:autoSpaceDE w:val="0"/>
      <w:autoSpaceDN w:val="0"/>
      <w:adjustRightInd w:val="0"/>
      <w:spacing w:before="100" w:after="100"/>
      <w:jc w:val="center"/>
    </w:pPr>
    <w:rPr>
      <w:b/>
      <w:bCs/>
      <w:sz w:val="24"/>
      <w:szCs w:val="24"/>
    </w:rPr>
  </w:style>
  <w:style w:type="paragraph" w:customStyle="1" w:styleId="thead3">
    <w:name w:val="thead3"/>
    <w:uiPriority w:val="99"/>
    <w:rsid w:val="00085F25"/>
    <w:pPr>
      <w:widowControl w:val="0"/>
      <w:autoSpaceDE w:val="0"/>
      <w:autoSpaceDN w:val="0"/>
      <w:adjustRightInd w:val="0"/>
      <w:spacing w:before="100" w:after="100"/>
      <w:jc w:val="right"/>
    </w:pPr>
    <w:rPr>
      <w:b/>
      <w:bCs/>
      <w:sz w:val="24"/>
      <w:szCs w:val="24"/>
    </w:rPr>
  </w:style>
  <w:style w:type="paragraph" w:customStyle="1" w:styleId="tfoot2a">
    <w:name w:val="tfoot2a"/>
    <w:uiPriority w:val="99"/>
    <w:rsid w:val="00085F25"/>
    <w:pPr>
      <w:widowControl w:val="0"/>
      <w:autoSpaceDE w:val="0"/>
      <w:autoSpaceDN w:val="0"/>
      <w:adjustRightInd w:val="0"/>
      <w:spacing w:before="100" w:after="100"/>
    </w:pPr>
    <w:rPr>
      <w:b/>
      <w:bCs/>
      <w:sz w:val="24"/>
      <w:szCs w:val="24"/>
    </w:rPr>
  </w:style>
  <w:style w:type="paragraph" w:customStyle="1" w:styleId="tfoot2b">
    <w:name w:val="tfoot2b"/>
    <w:uiPriority w:val="99"/>
    <w:rsid w:val="00085F25"/>
    <w:pPr>
      <w:widowControl w:val="0"/>
      <w:autoSpaceDE w:val="0"/>
      <w:autoSpaceDN w:val="0"/>
      <w:adjustRightInd w:val="0"/>
      <w:spacing w:before="100" w:after="100"/>
      <w:jc w:val="right"/>
    </w:pPr>
    <w:rPr>
      <w:b/>
      <w:bCs/>
      <w:sz w:val="24"/>
      <w:szCs w:val="24"/>
    </w:rPr>
  </w:style>
  <w:style w:type="paragraph" w:customStyle="1" w:styleId="x1">
    <w:name w:val="x1"/>
    <w:uiPriority w:val="99"/>
    <w:rsid w:val="00085F25"/>
    <w:pPr>
      <w:widowControl w:val="0"/>
      <w:autoSpaceDE w:val="0"/>
      <w:autoSpaceDN w:val="0"/>
      <w:adjustRightInd w:val="0"/>
      <w:spacing w:before="100" w:after="100"/>
    </w:pPr>
    <w:rPr>
      <w:sz w:val="18"/>
      <w:szCs w:val="18"/>
    </w:rPr>
  </w:style>
  <w:style w:type="paragraph" w:customStyle="1" w:styleId="x2">
    <w:name w:val="x2"/>
    <w:uiPriority w:val="99"/>
    <w:rsid w:val="00085F25"/>
    <w:pPr>
      <w:widowControl w:val="0"/>
      <w:autoSpaceDE w:val="0"/>
      <w:autoSpaceDN w:val="0"/>
      <w:adjustRightInd w:val="0"/>
      <w:spacing w:before="100" w:after="100"/>
      <w:jc w:val="center"/>
    </w:pPr>
    <w:rPr>
      <w:b/>
      <w:bCs/>
      <w:sz w:val="18"/>
      <w:szCs w:val="18"/>
    </w:rPr>
  </w:style>
  <w:style w:type="paragraph" w:customStyle="1" w:styleId="x3">
    <w:name w:val="x3"/>
    <w:uiPriority w:val="99"/>
    <w:rsid w:val="00085F25"/>
    <w:pPr>
      <w:widowControl w:val="0"/>
      <w:autoSpaceDE w:val="0"/>
      <w:autoSpaceDN w:val="0"/>
      <w:adjustRightInd w:val="0"/>
      <w:spacing w:before="100" w:after="100"/>
      <w:jc w:val="center"/>
    </w:pPr>
    <w:rPr>
      <w:b/>
      <w:bCs/>
      <w:sz w:val="18"/>
      <w:szCs w:val="18"/>
    </w:rPr>
  </w:style>
  <w:style w:type="paragraph" w:customStyle="1" w:styleId="x4">
    <w:name w:val="x4"/>
    <w:uiPriority w:val="99"/>
    <w:rsid w:val="00085F25"/>
    <w:pPr>
      <w:widowControl w:val="0"/>
      <w:autoSpaceDE w:val="0"/>
      <w:autoSpaceDN w:val="0"/>
      <w:adjustRightInd w:val="0"/>
      <w:spacing w:before="100" w:after="100"/>
      <w:jc w:val="center"/>
    </w:pPr>
    <w:rPr>
      <w:b/>
      <w:bCs/>
      <w:sz w:val="18"/>
      <w:szCs w:val="18"/>
    </w:rPr>
  </w:style>
  <w:style w:type="paragraph" w:customStyle="1" w:styleId="x5">
    <w:name w:val="x5"/>
    <w:uiPriority w:val="99"/>
    <w:rsid w:val="00085F25"/>
    <w:pPr>
      <w:widowControl w:val="0"/>
      <w:autoSpaceDE w:val="0"/>
      <w:autoSpaceDN w:val="0"/>
      <w:adjustRightInd w:val="0"/>
      <w:spacing w:before="100" w:after="100"/>
      <w:jc w:val="center"/>
    </w:pPr>
    <w:rPr>
      <w:b/>
      <w:bCs/>
      <w:sz w:val="18"/>
      <w:szCs w:val="18"/>
    </w:rPr>
  </w:style>
  <w:style w:type="paragraph" w:customStyle="1" w:styleId="x6">
    <w:name w:val="x6"/>
    <w:uiPriority w:val="99"/>
    <w:rsid w:val="00085F25"/>
    <w:pPr>
      <w:widowControl w:val="0"/>
      <w:autoSpaceDE w:val="0"/>
      <w:autoSpaceDN w:val="0"/>
      <w:adjustRightInd w:val="0"/>
      <w:spacing w:before="100" w:after="100"/>
      <w:jc w:val="center"/>
    </w:pPr>
    <w:rPr>
      <w:b/>
      <w:bCs/>
      <w:sz w:val="18"/>
      <w:szCs w:val="18"/>
    </w:rPr>
  </w:style>
  <w:style w:type="paragraph" w:customStyle="1" w:styleId="x7">
    <w:name w:val="x7"/>
    <w:uiPriority w:val="99"/>
    <w:rsid w:val="00085F25"/>
    <w:pPr>
      <w:widowControl w:val="0"/>
      <w:autoSpaceDE w:val="0"/>
      <w:autoSpaceDN w:val="0"/>
      <w:adjustRightInd w:val="0"/>
      <w:spacing w:before="100" w:after="100"/>
      <w:jc w:val="center"/>
    </w:pPr>
    <w:rPr>
      <w:b/>
      <w:bCs/>
      <w:sz w:val="18"/>
      <w:szCs w:val="18"/>
    </w:rPr>
  </w:style>
  <w:style w:type="paragraph" w:customStyle="1" w:styleId="x8">
    <w:name w:val="x8"/>
    <w:uiPriority w:val="99"/>
    <w:rsid w:val="00085F25"/>
    <w:pPr>
      <w:widowControl w:val="0"/>
      <w:autoSpaceDE w:val="0"/>
      <w:autoSpaceDN w:val="0"/>
      <w:adjustRightInd w:val="0"/>
      <w:spacing w:before="100" w:after="100"/>
      <w:jc w:val="center"/>
    </w:pPr>
    <w:rPr>
      <w:b/>
      <w:bCs/>
      <w:sz w:val="18"/>
      <w:szCs w:val="18"/>
    </w:rPr>
  </w:style>
  <w:style w:type="paragraph" w:customStyle="1" w:styleId="x9">
    <w:name w:val="x9"/>
    <w:uiPriority w:val="99"/>
    <w:rsid w:val="00085F25"/>
    <w:pPr>
      <w:widowControl w:val="0"/>
      <w:autoSpaceDE w:val="0"/>
      <w:autoSpaceDN w:val="0"/>
      <w:adjustRightInd w:val="0"/>
      <w:spacing w:before="100" w:after="100"/>
      <w:jc w:val="center"/>
    </w:pPr>
    <w:rPr>
      <w:b/>
      <w:bCs/>
      <w:sz w:val="18"/>
      <w:szCs w:val="18"/>
    </w:rPr>
  </w:style>
  <w:style w:type="paragraph" w:customStyle="1" w:styleId="x10">
    <w:name w:val="x10"/>
    <w:uiPriority w:val="99"/>
    <w:rsid w:val="00085F25"/>
    <w:pPr>
      <w:widowControl w:val="0"/>
      <w:autoSpaceDE w:val="0"/>
      <w:autoSpaceDN w:val="0"/>
      <w:adjustRightInd w:val="0"/>
      <w:spacing w:before="100" w:after="100"/>
    </w:pPr>
    <w:rPr>
      <w:sz w:val="18"/>
      <w:szCs w:val="18"/>
    </w:rPr>
  </w:style>
  <w:style w:type="paragraph" w:customStyle="1" w:styleId="x11">
    <w:name w:val="x11"/>
    <w:uiPriority w:val="99"/>
    <w:rsid w:val="00085F25"/>
    <w:pPr>
      <w:widowControl w:val="0"/>
      <w:autoSpaceDE w:val="0"/>
      <w:autoSpaceDN w:val="0"/>
      <w:adjustRightInd w:val="0"/>
      <w:spacing w:before="100" w:after="100"/>
    </w:pPr>
    <w:rPr>
      <w:sz w:val="18"/>
      <w:szCs w:val="18"/>
    </w:rPr>
  </w:style>
  <w:style w:type="paragraph" w:customStyle="1" w:styleId="x12">
    <w:name w:val="x12"/>
    <w:uiPriority w:val="99"/>
    <w:rsid w:val="00085F25"/>
    <w:pPr>
      <w:widowControl w:val="0"/>
      <w:autoSpaceDE w:val="0"/>
      <w:autoSpaceDN w:val="0"/>
      <w:adjustRightInd w:val="0"/>
      <w:spacing w:before="100" w:after="100"/>
    </w:pPr>
    <w:rPr>
      <w:sz w:val="18"/>
      <w:szCs w:val="18"/>
    </w:rPr>
  </w:style>
  <w:style w:type="paragraph" w:customStyle="1" w:styleId="x13">
    <w:name w:val="x13"/>
    <w:uiPriority w:val="99"/>
    <w:rsid w:val="00085F25"/>
    <w:pPr>
      <w:widowControl w:val="0"/>
      <w:autoSpaceDE w:val="0"/>
      <w:autoSpaceDN w:val="0"/>
      <w:adjustRightInd w:val="0"/>
      <w:spacing w:before="100" w:after="100"/>
    </w:pPr>
    <w:rPr>
      <w:sz w:val="18"/>
      <w:szCs w:val="18"/>
    </w:rPr>
  </w:style>
  <w:style w:type="paragraph" w:customStyle="1" w:styleId="x14">
    <w:name w:val="x14"/>
    <w:uiPriority w:val="99"/>
    <w:rsid w:val="00085F25"/>
    <w:pPr>
      <w:widowControl w:val="0"/>
      <w:autoSpaceDE w:val="0"/>
      <w:autoSpaceDN w:val="0"/>
      <w:adjustRightInd w:val="0"/>
      <w:spacing w:before="100" w:after="100"/>
    </w:pPr>
    <w:rPr>
      <w:sz w:val="18"/>
      <w:szCs w:val="18"/>
    </w:rPr>
  </w:style>
  <w:style w:type="paragraph" w:customStyle="1" w:styleId="x15">
    <w:name w:val="x15"/>
    <w:uiPriority w:val="99"/>
    <w:rsid w:val="00085F25"/>
    <w:pPr>
      <w:widowControl w:val="0"/>
      <w:autoSpaceDE w:val="0"/>
      <w:autoSpaceDN w:val="0"/>
      <w:adjustRightInd w:val="0"/>
      <w:spacing w:before="100" w:after="100"/>
    </w:pPr>
    <w:rPr>
      <w:sz w:val="18"/>
      <w:szCs w:val="18"/>
    </w:rPr>
  </w:style>
  <w:style w:type="paragraph" w:customStyle="1" w:styleId="x16">
    <w:name w:val="x16"/>
    <w:uiPriority w:val="99"/>
    <w:rsid w:val="00085F25"/>
    <w:pPr>
      <w:widowControl w:val="0"/>
      <w:autoSpaceDE w:val="0"/>
      <w:autoSpaceDN w:val="0"/>
      <w:adjustRightInd w:val="0"/>
      <w:spacing w:before="100" w:after="100"/>
    </w:pPr>
    <w:rPr>
      <w:sz w:val="18"/>
      <w:szCs w:val="18"/>
    </w:rPr>
  </w:style>
  <w:style w:type="paragraph" w:customStyle="1" w:styleId="x17">
    <w:name w:val="x17"/>
    <w:uiPriority w:val="99"/>
    <w:rsid w:val="00085F25"/>
    <w:pPr>
      <w:widowControl w:val="0"/>
      <w:autoSpaceDE w:val="0"/>
      <w:autoSpaceDN w:val="0"/>
      <w:adjustRightInd w:val="0"/>
      <w:spacing w:before="100" w:after="100"/>
    </w:pPr>
    <w:rPr>
      <w:sz w:val="18"/>
      <w:szCs w:val="18"/>
    </w:rPr>
  </w:style>
  <w:style w:type="paragraph" w:customStyle="1" w:styleId="x18">
    <w:name w:val="x18"/>
    <w:uiPriority w:val="99"/>
    <w:rsid w:val="00085F25"/>
    <w:pPr>
      <w:widowControl w:val="0"/>
      <w:autoSpaceDE w:val="0"/>
      <w:autoSpaceDN w:val="0"/>
      <w:adjustRightInd w:val="0"/>
      <w:spacing w:before="100" w:after="100"/>
    </w:pPr>
    <w:rPr>
      <w:sz w:val="18"/>
      <w:szCs w:val="18"/>
    </w:rPr>
  </w:style>
  <w:style w:type="paragraph" w:customStyle="1" w:styleId="x19">
    <w:name w:val="x19"/>
    <w:uiPriority w:val="99"/>
    <w:rsid w:val="00085F25"/>
    <w:pPr>
      <w:widowControl w:val="0"/>
      <w:autoSpaceDE w:val="0"/>
      <w:autoSpaceDN w:val="0"/>
      <w:adjustRightInd w:val="0"/>
      <w:spacing w:before="100" w:after="100"/>
    </w:pPr>
    <w:rPr>
      <w:sz w:val="18"/>
      <w:szCs w:val="18"/>
    </w:rPr>
  </w:style>
  <w:style w:type="paragraph" w:customStyle="1" w:styleId="x20">
    <w:name w:val="x20"/>
    <w:uiPriority w:val="99"/>
    <w:rsid w:val="00085F25"/>
    <w:pPr>
      <w:widowControl w:val="0"/>
      <w:autoSpaceDE w:val="0"/>
      <w:autoSpaceDN w:val="0"/>
      <w:adjustRightInd w:val="0"/>
      <w:spacing w:before="100" w:after="100"/>
    </w:pPr>
    <w:rPr>
      <w:sz w:val="18"/>
      <w:szCs w:val="18"/>
    </w:rPr>
  </w:style>
  <w:style w:type="paragraph" w:customStyle="1" w:styleId="x21">
    <w:name w:val="x21"/>
    <w:uiPriority w:val="99"/>
    <w:rsid w:val="00085F25"/>
    <w:pPr>
      <w:widowControl w:val="0"/>
      <w:autoSpaceDE w:val="0"/>
      <w:autoSpaceDN w:val="0"/>
      <w:adjustRightInd w:val="0"/>
      <w:spacing w:before="100" w:after="100"/>
    </w:pPr>
    <w:rPr>
      <w:sz w:val="18"/>
      <w:szCs w:val="18"/>
    </w:rPr>
  </w:style>
  <w:style w:type="paragraph" w:customStyle="1" w:styleId="x22">
    <w:name w:val="x22"/>
    <w:uiPriority w:val="99"/>
    <w:rsid w:val="00085F25"/>
    <w:pPr>
      <w:widowControl w:val="0"/>
      <w:autoSpaceDE w:val="0"/>
      <w:autoSpaceDN w:val="0"/>
      <w:adjustRightInd w:val="0"/>
      <w:spacing w:before="100" w:after="100"/>
    </w:pPr>
    <w:rPr>
      <w:sz w:val="18"/>
      <w:szCs w:val="18"/>
    </w:rPr>
  </w:style>
  <w:style w:type="paragraph" w:customStyle="1" w:styleId="x23">
    <w:name w:val="x23"/>
    <w:uiPriority w:val="99"/>
    <w:rsid w:val="00085F25"/>
    <w:pPr>
      <w:widowControl w:val="0"/>
      <w:autoSpaceDE w:val="0"/>
      <w:autoSpaceDN w:val="0"/>
      <w:adjustRightInd w:val="0"/>
      <w:spacing w:before="100" w:after="100"/>
    </w:pPr>
    <w:rPr>
      <w:sz w:val="18"/>
      <w:szCs w:val="18"/>
    </w:rPr>
  </w:style>
  <w:style w:type="paragraph" w:customStyle="1" w:styleId="x24">
    <w:name w:val="x24"/>
    <w:uiPriority w:val="99"/>
    <w:rsid w:val="00085F25"/>
    <w:pPr>
      <w:widowControl w:val="0"/>
      <w:autoSpaceDE w:val="0"/>
      <w:autoSpaceDN w:val="0"/>
      <w:adjustRightInd w:val="0"/>
      <w:spacing w:before="100" w:after="100"/>
    </w:pPr>
    <w:rPr>
      <w:sz w:val="18"/>
      <w:szCs w:val="18"/>
    </w:rPr>
  </w:style>
  <w:style w:type="paragraph" w:customStyle="1" w:styleId="x25">
    <w:name w:val="x25"/>
    <w:uiPriority w:val="99"/>
    <w:rsid w:val="00085F25"/>
    <w:pPr>
      <w:widowControl w:val="0"/>
      <w:autoSpaceDE w:val="0"/>
      <w:autoSpaceDN w:val="0"/>
      <w:adjustRightInd w:val="0"/>
      <w:spacing w:before="100" w:after="100"/>
    </w:pPr>
    <w:rPr>
      <w:sz w:val="18"/>
      <w:szCs w:val="18"/>
    </w:rPr>
  </w:style>
  <w:style w:type="paragraph" w:customStyle="1" w:styleId="x26">
    <w:name w:val="x26"/>
    <w:uiPriority w:val="99"/>
    <w:rsid w:val="00085F25"/>
    <w:pPr>
      <w:widowControl w:val="0"/>
      <w:autoSpaceDE w:val="0"/>
      <w:autoSpaceDN w:val="0"/>
      <w:adjustRightInd w:val="0"/>
      <w:spacing w:before="100" w:after="100"/>
    </w:pPr>
    <w:rPr>
      <w:sz w:val="18"/>
      <w:szCs w:val="18"/>
    </w:rPr>
  </w:style>
  <w:style w:type="paragraph" w:customStyle="1" w:styleId="x27">
    <w:name w:val="x27"/>
    <w:uiPriority w:val="99"/>
    <w:rsid w:val="00085F25"/>
    <w:pPr>
      <w:widowControl w:val="0"/>
      <w:autoSpaceDE w:val="0"/>
      <w:autoSpaceDN w:val="0"/>
      <w:adjustRightInd w:val="0"/>
      <w:spacing w:before="100" w:after="100"/>
    </w:pPr>
    <w:rPr>
      <w:sz w:val="18"/>
      <w:szCs w:val="18"/>
    </w:rPr>
  </w:style>
  <w:style w:type="paragraph" w:customStyle="1" w:styleId="x28">
    <w:name w:val="x28"/>
    <w:uiPriority w:val="99"/>
    <w:rsid w:val="00085F25"/>
    <w:pPr>
      <w:widowControl w:val="0"/>
      <w:autoSpaceDE w:val="0"/>
      <w:autoSpaceDN w:val="0"/>
      <w:adjustRightInd w:val="0"/>
      <w:spacing w:before="100" w:after="100"/>
    </w:pPr>
    <w:rPr>
      <w:sz w:val="18"/>
      <w:szCs w:val="18"/>
    </w:rPr>
  </w:style>
  <w:style w:type="paragraph" w:customStyle="1" w:styleId="x29">
    <w:name w:val="x29"/>
    <w:uiPriority w:val="99"/>
    <w:rsid w:val="00085F25"/>
    <w:pPr>
      <w:widowControl w:val="0"/>
      <w:autoSpaceDE w:val="0"/>
      <w:autoSpaceDN w:val="0"/>
      <w:adjustRightInd w:val="0"/>
      <w:spacing w:before="100" w:after="100"/>
    </w:pPr>
    <w:rPr>
      <w:sz w:val="18"/>
      <w:szCs w:val="18"/>
    </w:rPr>
  </w:style>
  <w:style w:type="paragraph" w:styleId="Header">
    <w:name w:val="header"/>
    <w:basedOn w:val="Normal"/>
    <w:link w:val="HeaderChar"/>
    <w:uiPriority w:val="99"/>
    <w:rsid w:val="00085F25"/>
  </w:style>
  <w:style w:type="character" w:customStyle="1" w:styleId="HeaderChar">
    <w:name w:val="Header Char"/>
    <w:basedOn w:val="DefaultParagraphFont"/>
    <w:link w:val="Header"/>
    <w:uiPriority w:val="99"/>
    <w:semiHidden/>
    <w:locked/>
    <w:rsid w:val="000C51E3"/>
    <w:rPr>
      <w:sz w:val="24"/>
      <w:szCs w:val="24"/>
    </w:rPr>
  </w:style>
  <w:style w:type="paragraph" w:styleId="Footer">
    <w:name w:val="footer"/>
    <w:basedOn w:val="Normal"/>
    <w:link w:val="FooterChar"/>
    <w:uiPriority w:val="99"/>
    <w:rsid w:val="00085F25"/>
  </w:style>
  <w:style w:type="character" w:customStyle="1" w:styleId="FooterChar">
    <w:name w:val="Footer Char"/>
    <w:basedOn w:val="DefaultParagraphFont"/>
    <w:link w:val="Footer"/>
    <w:uiPriority w:val="99"/>
    <w:semiHidden/>
    <w:locked/>
    <w:rsid w:val="000C51E3"/>
    <w:rPr>
      <w:sz w:val="24"/>
      <w:szCs w:val="24"/>
    </w:rPr>
  </w:style>
  <w:style w:type="character" w:customStyle="1" w:styleId="CharChar">
    <w:name w:val="Char Char"/>
    <w:uiPriority w:val="99"/>
    <w:rsid w:val="00085F25"/>
    <w:rPr>
      <w:rFonts w:ascii="Tahoma" w:hAnsi="Tahoma" w:cs="Tahoma"/>
      <w:sz w:val="16"/>
      <w:szCs w:val="16"/>
    </w:rPr>
  </w:style>
  <w:style w:type="character" w:customStyle="1" w:styleId="CharChar1">
    <w:name w:val="Char Char1"/>
    <w:uiPriority w:val="99"/>
    <w:rsid w:val="00085F25"/>
  </w:style>
  <w:style w:type="character" w:styleId="PageNumber">
    <w:name w:val="page number"/>
    <w:basedOn w:val="DefaultParagraphFont"/>
    <w:uiPriority w:val="99"/>
    <w:rsid w:val="00264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557</Words>
  <Characters>3178</Characters>
  <Application>Microsoft Office Outlook</Application>
  <DocSecurity>0</DocSecurity>
  <Lines>0</Lines>
  <Paragraphs>0</Paragraphs>
  <ScaleCrop>false</ScaleCrop>
  <Company>Dept. of the Treasury, FMS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MCrisman</dc:creator>
  <cp:keywords/>
  <dc:description/>
  <cp:lastModifiedBy>mcrism01</cp:lastModifiedBy>
  <cp:revision>4</cp:revision>
  <dcterms:created xsi:type="dcterms:W3CDTF">2013-06-10T12:41:00Z</dcterms:created>
  <dcterms:modified xsi:type="dcterms:W3CDTF">2013-06-10T12:44:00Z</dcterms:modified>
</cp:coreProperties>
</file>