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A1A4" w14:textId="0DFDE31C" w:rsidR="00DE25E7" w:rsidRPr="00DE25E7" w:rsidRDefault="00DE25E7" w:rsidP="00DE25E7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 w:rsidRPr="00DE25E7">
        <w:rPr>
          <w:b/>
          <w:bCs/>
          <w:sz w:val="32"/>
          <w:szCs w:val="32"/>
          <w:u w:val="single"/>
        </w:rPr>
        <w:t>Chart of Accounts IRC Meeting Handout</w:t>
      </w:r>
    </w:p>
    <w:p w14:paraId="384D01F6" w14:textId="77777777" w:rsidR="00DE25E7" w:rsidRDefault="00DE25E7" w:rsidP="00DE25E7">
      <w:pPr>
        <w:pStyle w:val="ListParagraph"/>
        <w:rPr>
          <w:rFonts w:eastAsia="Times New Roman"/>
        </w:rPr>
      </w:pPr>
    </w:p>
    <w:p w14:paraId="2F33518B" w14:textId="07966791" w:rsidR="00DE25E7" w:rsidRDefault="00DE25E7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195000</w:t>
      </w:r>
      <w:r w:rsidR="00F078AA">
        <w:rPr>
          <w:rFonts w:eastAsia="Times New Roman"/>
        </w:rPr>
        <w:t xml:space="preserve"> Lessee Right-To-Use Lease Asset &amp; 195900 – Accumulated Amortization on Lessee Lease Assets USSGL’s will be moved from the Other Assets </w:t>
      </w:r>
      <w:r w:rsidR="00AE4C4A">
        <w:rPr>
          <w:rFonts w:eastAsia="Times New Roman"/>
        </w:rPr>
        <w:t>c</w:t>
      </w:r>
      <w:r w:rsidR="00F078AA">
        <w:rPr>
          <w:rFonts w:eastAsia="Times New Roman"/>
        </w:rPr>
        <w:t>ategory to the Property, Plant, and Equipment category.</w:t>
      </w:r>
    </w:p>
    <w:p w14:paraId="6A29109F" w14:textId="77777777" w:rsidR="00AE4C4A" w:rsidRDefault="00AE4C4A" w:rsidP="00AE4C4A">
      <w:pPr>
        <w:pStyle w:val="ListParagraph"/>
        <w:rPr>
          <w:rFonts w:eastAsia="Times New Roman"/>
        </w:rPr>
      </w:pPr>
    </w:p>
    <w:p w14:paraId="363688AE" w14:textId="004D702F" w:rsidR="00F078AA" w:rsidRDefault="00F078AA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USSGL 233000 – Unearned Lessor Revenue will be moved from the Other Liabilities category to the Unearned Revenue category.</w:t>
      </w:r>
    </w:p>
    <w:p w14:paraId="6983E158" w14:textId="77777777" w:rsidR="00AE4C4A" w:rsidRDefault="00AE4C4A" w:rsidP="00AE4C4A">
      <w:pPr>
        <w:pStyle w:val="ListParagraph"/>
        <w:rPr>
          <w:rFonts w:eastAsia="Times New Roman"/>
        </w:rPr>
      </w:pPr>
    </w:p>
    <w:p w14:paraId="56C5A4A5" w14:textId="027A2D75" w:rsidR="00F078AA" w:rsidRDefault="00F078AA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USSGL 214010 - Unfunded Accrued Interest Payable will be moved from the Other Liabilities category to the Accrued Liabilities – other category.</w:t>
      </w:r>
    </w:p>
    <w:p w14:paraId="2CADBAC5" w14:textId="77777777" w:rsidR="00DE25E7" w:rsidRDefault="00DE25E7" w:rsidP="00DE25E7">
      <w:pPr>
        <w:pStyle w:val="ListParagraph"/>
        <w:rPr>
          <w:rFonts w:eastAsia="Times New Roman"/>
        </w:rPr>
      </w:pPr>
    </w:p>
    <w:p w14:paraId="5ECC0DD9" w14:textId="179CB8EA" w:rsidR="00DE25E7" w:rsidRDefault="00F078AA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USSGL </w:t>
      </w:r>
      <w:r w:rsidR="00DE25E7">
        <w:rPr>
          <w:rFonts w:eastAsia="Times New Roman"/>
        </w:rPr>
        <w:t>220500</w:t>
      </w:r>
      <w:r>
        <w:rPr>
          <w:rFonts w:eastAsia="Times New Roman"/>
        </w:rPr>
        <w:t xml:space="preserve"> – Liability for Unearned Insurance Premiums</w:t>
      </w:r>
      <w:r w:rsidR="00703B6B">
        <w:rPr>
          <w:rFonts w:eastAsia="Times New Roman"/>
        </w:rPr>
        <w:t xml:space="preserve"> </w:t>
      </w:r>
      <w:r w:rsidR="00DE25E7">
        <w:rPr>
          <w:rFonts w:eastAsia="Times New Roman"/>
        </w:rPr>
        <w:t>wil</w:t>
      </w:r>
      <w:r>
        <w:rPr>
          <w:rFonts w:eastAsia="Times New Roman"/>
        </w:rPr>
        <w:t>l</w:t>
      </w:r>
      <w:r w:rsidR="00DE25E7">
        <w:rPr>
          <w:rFonts w:eastAsia="Times New Roman"/>
        </w:rPr>
        <w:t xml:space="preserve"> be mo</w:t>
      </w:r>
      <w:r>
        <w:rPr>
          <w:rFonts w:eastAsia="Times New Roman"/>
        </w:rPr>
        <w:t>ved</w:t>
      </w:r>
      <w:r w:rsidR="00DE25E7">
        <w:rPr>
          <w:rFonts w:eastAsia="Times New Roman"/>
        </w:rPr>
        <w:t xml:space="preserve"> from Accrued Liabilities – Other</w:t>
      </w:r>
      <w:r>
        <w:rPr>
          <w:rFonts w:eastAsia="Times New Roman"/>
        </w:rPr>
        <w:t xml:space="preserve"> category</w:t>
      </w:r>
      <w:r w:rsidR="00DE25E7">
        <w:rPr>
          <w:rFonts w:eastAsia="Times New Roman"/>
        </w:rPr>
        <w:t xml:space="preserve"> to </w:t>
      </w:r>
      <w:r>
        <w:rPr>
          <w:rFonts w:eastAsia="Times New Roman"/>
        </w:rPr>
        <w:t xml:space="preserve">the </w:t>
      </w:r>
      <w:r w:rsidR="00DE25E7">
        <w:rPr>
          <w:rFonts w:eastAsia="Times New Roman"/>
        </w:rPr>
        <w:t>Unearned Revenue</w:t>
      </w:r>
      <w:r>
        <w:rPr>
          <w:rFonts w:eastAsia="Times New Roman"/>
        </w:rPr>
        <w:t xml:space="preserve"> category.</w:t>
      </w:r>
    </w:p>
    <w:p w14:paraId="5E711444" w14:textId="77777777" w:rsidR="00DE25E7" w:rsidRPr="00DE25E7" w:rsidRDefault="00DE25E7" w:rsidP="00DE25E7">
      <w:pPr>
        <w:rPr>
          <w:rFonts w:eastAsia="Times New Roman"/>
        </w:rPr>
      </w:pPr>
    </w:p>
    <w:p w14:paraId="7DB3F235" w14:textId="3E911A87" w:rsidR="00DE25E7" w:rsidRDefault="00F078AA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USSGL </w:t>
      </w:r>
      <w:r w:rsidR="00DE25E7">
        <w:rPr>
          <w:rFonts w:eastAsia="Times New Roman"/>
        </w:rPr>
        <w:t>221100</w:t>
      </w:r>
      <w:r>
        <w:rPr>
          <w:rFonts w:eastAsia="Times New Roman"/>
        </w:rPr>
        <w:t xml:space="preserve"> – Withholdings Payable will be moved from the Accrued Liabilities – Payroll &amp; Benefits category to the Other Liabilities category.</w:t>
      </w:r>
    </w:p>
    <w:p w14:paraId="1DB0C548" w14:textId="77777777" w:rsidR="00F078AA" w:rsidRPr="00F078AA" w:rsidRDefault="00F078AA" w:rsidP="00F078AA">
      <w:pPr>
        <w:pStyle w:val="ListParagraph"/>
        <w:rPr>
          <w:rFonts w:eastAsia="Times New Roman"/>
        </w:rPr>
      </w:pPr>
    </w:p>
    <w:p w14:paraId="1C41A702" w14:textId="49B63058" w:rsidR="00F078AA" w:rsidRDefault="00F078AA" w:rsidP="00DE25E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USSGL 222500 - Unfunded FECA Liability will be moved from the Accrued Liabilities – Payroll &amp; Benefits category to the Accrued Liabilities – </w:t>
      </w:r>
      <w:proofErr w:type="gramStart"/>
      <w:r>
        <w:rPr>
          <w:rFonts w:eastAsia="Times New Roman"/>
        </w:rPr>
        <w:t>Other</w:t>
      </w:r>
      <w:proofErr w:type="gramEnd"/>
      <w:r>
        <w:rPr>
          <w:rFonts w:eastAsia="Times New Roman"/>
        </w:rPr>
        <w:t xml:space="preserve"> category.</w:t>
      </w:r>
    </w:p>
    <w:p w14:paraId="53D9028B" w14:textId="77777777" w:rsidR="00DE25E7" w:rsidRDefault="00DE25E7" w:rsidP="00DE25E7">
      <w:pPr>
        <w:rPr>
          <w:rFonts w:eastAsia="Times New Roman"/>
        </w:rPr>
      </w:pPr>
    </w:p>
    <w:p w14:paraId="33242ACF" w14:textId="5B4F91E3" w:rsidR="00CF1E1C" w:rsidRDefault="00DE25E7" w:rsidP="00703B6B">
      <w:r>
        <w:rPr>
          <w:rFonts w:eastAsia="Times New Roman"/>
        </w:rPr>
        <w:t xml:space="preserve">These changes are being made to better place the definitions of the accounts with their proper grouping on the </w:t>
      </w:r>
      <w:r w:rsidR="00703B6B">
        <w:rPr>
          <w:rFonts w:eastAsia="Times New Roman"/>
        </w:rPr>
        <w:t>Chart of Accounts. The Chart of Accounts provides basic structure to General Ledger accounts and this in no way effects their lines on the crosswalks.</w:t>
      </w:r>
    </w:p>
    <w:sectPr w:rsidR="00CF1E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C359" w14:textId="77777777" w:rsidR="003C1B70" w:rsidRDefault="003C1B70" w:rsidP="003C1B70">
      <w:r>
        <w:separator/>
      </w:r>
    </w:p>
  </w:endnote>
  <w:endnote w:type="continuationSeparator" w:id="0">
    <w:p w14:paraId="2FE5A44F" w14:textId="77777777" w:rsidR="003C1B70" w:rsidRDefault="003C1B70" w:rsidP="003C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1600" w14:textId="630ED042" w:rsidR="003C1B70" w:rsidRDefault="003C1B70">
    <w:pPr>
      <w:pStyle w:val="Footer"/>
    </w:pPr>
    <w:r>
      <w:t>February IRC Handout</w:t>
    </w:r>
    <w:r>
      <w:tab/>
    </w:r>
    <w:r>
      <w:tab/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7C05" w14:textId="77777777" w:rsidR="003C1B70" w:rsidRDefault="003C1B70" w:rsidP="003C1B70">
      <w:r>
        <w:separator/>
      </w:r>
    </w:p>
  </w:footnote>
  <w:footnote w:type="continuationSeparator" w:id="0">
    <w:p w14:paraId="312519FC" w14:textId="77777777" w:rsidR="003C1B70" w:rsidRDefault="003C1B70" w:rsidP="003C1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962478"/>
      <w:docPartObj>
        <w:docPartGallery w:val="Watermarks"/>
        <w:docPartUnique/>
      </w:docPartObj>
    </w:sdtPr>
    <w:sdtContent>
      <w:p w14:paraId="453C0D30" w14:textId="4A1A3985" w:rsidR="003C1B70" w:rsidRDefault="003C1B70">
        <w:pPr>
          <w:pStyle w:val="Header"/>
        </w:pPr>
        <w:r>
          <w:rPr>
            <w:noProof/>
          </w:rPr>
          <w:pict w14:anchorId="21A71A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CE"/>
    <w:multiLevelType w:val="hybridMultilevel"/>
    <w:tmpl w:val="FFC4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1E56"/>
    <w:multiLevelType w:val="hybridMultilevel"/>
    <w:tmpl w:val="1AB8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8397E"/>
    <w:multiLevelType w:val="hybridMultilevel"/>
    <w:tmpl w:val="962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633988">
    <w:abstractNumId w:val="0"/>
  </w:num>
  <w:num w:numId="2" w16cid:durableId="26640159">
    <w:abstractNumId w:val="1"/>
  </w:num>
  <w:num w:numId="3" w16cid:durableId="36510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E7"/>
    <w:rsid w:val="000E2C93"/>
    <w:rsid w:val="003C1B70"/>
    <w:rsid w:val="00703B6B"/>
    <w:rsid w:val="00AE4C4A"/>
    <w:rsid w:val="00BB01D8"/>
    <w:rsid w:val="00CF1E1C"/>
    <w:rsid w:val="00DE25E7"/>
    <w:rsid w:val="00F078AA"/>
    <w:rsid w:val="00F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FD3228"/>
  <w15:chartTrackingRefBased/>
  <w15:docId w15:val="{FCE14DB1-731B-4941-85D8-B4021CCD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5E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5E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E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2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25E7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5E7"/>
    <w:rPr>
      <w:rFonts w:ascii="Calibri" w:hAnsi="Calibri" w:cs="Calibri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1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70"/>
    <w:rPr>
      <w:rFonts w:ascii="Calibri" w:hAnsi="Calibri" w:cs="Calibri"/>
      <w:kern w:val="0"/>
    </w:rPr>
  </w:style>
  <w:style w:type="paragraph" w:styleId="Footer">
    <w:name w:val="footer"/>
    <w:basedOn w:val="Normal"/>
    <w:link w:val="FooterChar"/>
    <w:uiPriority w:val="99"/>
    <w:unhideWhenUsed/>
    <w:rsid w:val="003C1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70"/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B. Moore</dc:creator>
  <cp:keywords/>
  <dc:description/>
  <cp:lastModifiedBy>Kyle B. Moore</cp:lastModifiedBy>
  <cp:revision>7</cp:revision>
  <dcterms:created xsi:type="dcterms:W3CDTF">2024-02-12T16:49:00Z</dcterms:created>
  <dcterms:modified xsi:type="dcterms:W3CDTF">2024-02-13T16:58:00Z</dcterms:modified>
</cp:coreProperties>
</file>