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1B4" w14:textId="4C7745F8" w:rsid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center"/>
        <w:rPr>
          <w:rFonts w:ascii="TimesNewRoman" w:hAnsi="TimesNewRoman" w:cs="Courier New"/>
          <w:b/>
          <w:sz w:val="32"/>
          <w:szCs w:val="32"/>
          <w:u w:val="single"/>
        </w:rPr>
      </w:pPr>
      <w:r w:rsidRPr="00B8046F">
        <w:rPr>
          <w:rFonts w:ascii="TimesNewRoman" w:hAnsi="TimesNewRoman" w:cs="Courier New"/>
          <w:b/>
          <w:sz w:val="32"/>
          <w:szCs w:val="32"/>
          <w:u w:val="single"/>
        </w:rPr>
        <w:t>Updates</w:t>
      </w:r>
      <w:r w:rsidR="005D6910">
        <w:rPr>
          <w:rFonts w:ascii="TimesNewRoman" w:hAnsi="TimesNewRoman" w:cs="Courier New"/>
          <w:b/>
          <w:sz w:val="32"/>
          <w:szCs w:val="32"/>
          <w:u w:val="single"/>
        </w:rPr>
        <w:t xml:space="preserve"> FY 2024 and FY</w:t>
      </w:r>
      <w:r w:rsidR="00240D56">
        <w:rPr>
          <w:rFonts w:ascii="TimesNewRoman" w:hAnsi="TimesNewRoman" w:cs="Courier New"/>
          <w:b/>
          <w:sz w:val="32"/>
          <w:szCs w:val="32"/>
          <w:u w:val="single"/>
        </w:rPr>
        <w:t xml:space="preserve"> </w:t>
      </w:r>
      <w:r w:rsidR="005D6910">
        <w:rPr>
          <w:rFonts w:ascii="TimesNewRoman" w:hAnsi="TimesNewRoman" w:cs="Courier New"/>
          <w:b/>
          <w:sz w:val="32"/>
          <w:szCs w:val="32"/>
          <w:u w:val="single"/>
        </w:rPr>
        <w:t>2025</w:t>
      </w:r>
    </w:p>
    <w:p w14:paraId="21F288A9" w14:textId="77777777" w:rsidR="005D6910" w:rsidRDefault="005D6910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center"/>
        <w:rPr>
          <w:rFonts w:ascii="TimesNewRoman" w:hAnsi="TimesNewRoman" w:cs="Courier New"/>
          <w:b/>
          <w:sz w:val="32"/>
          <w:szCs w:val="32"/>
          <w:u w:val="single"/>
        </w:rPr>
      </w:pPr>
    </w:p>
    <w:p w14:paraId="4FA20D83" w14:textId="77777777" w:rsidR="005D6910" w:rsidRPr="00B8046F" w:rsidRDefault="005D6910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jc w:val="center"/>
        <w:rPr>
          <w:rFonts w:ascii="TimesNewRoman" w:hAnsi="TimesNewRoman" w:cs="Courier New"/>
          <w:b/>
          <w:sz w:val="32"/>
          <w:szCs w:val="32"/>
          <w:u w:val="single"/>
        </w:rPr>
      </w:pPr>
    </w:p>
    <w:p w14:paraId="47033FDD" w14:textId="77777777" w:rsidR="00EB79C9" w:rsidRP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79C9">
        <w:rPr>
          <w:rFonts w:ascii="Times New Roman" w:hAnsi="Times New Roman" w:cs="Times New Roman"/>
          <w:b/>
          <w:bCs/>
          <w:sz w:val="24"/>
          <w:szCs w:val="24"/>
        </w:rPr>
        <w:t>A176</w:t>
      </w:r>
      <w:r w:rsidRPr="00EB79C9">
        <w:rPr>
          <w:rFonts w:ascii="Times New Roman" w:hAnsi="Times New Roman" w:cs="Times New Roman"/>
          <w:sz w:val="24"/>
          <w:szCs w:val="24"/>
        </w:rPr>
        <w:t xml:space="preserve"> To record the substitution of contract authority by unfilled customer orders without  </w:t>
      </w:r>
    </w:p>
    <w:p w14:paraId="09963BF1" w14:textId="6DF8AB31" w:rsidR="00EB79C9" w:rsidRP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79C9">
        <w:rPr>
          <w:rFonts w:ascii="Times New Roman" w:hAnsi="Times New Roman" w:cs="Times New Roman"/>
          <w:sz w:val="24"/>
          <w:szCs w:val="24"/>
        </w:rPr>
        <w:t xml:space="preserve">          advance.  </w:t>
      </w:r>
    </w:p>
    <w:p w14:paraId="38B84D30" w14:textId="77777777" w:rsid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6B68D97" w14:textId="77777777" w:rsid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9C9">
        <w:rPr>
          <w:rFonts w:ascii="Times New Roman" w:hAnsi="Times New Roman" w:cs="Times New Roman"/>
          <w:b/>
          <w:bCs/>
          <w:sz w:val="24"/>
          <w:szCs w:val="24"/>
        </w:rPr>
        <w:t>Comment:</w:t>
      </w:r>
      <w:r w:rsidRPr="00EB79C9">
        <w:rPr>
          <w:rFonts w:ascii="Times New Roman" w:hAnsi="Times New Roman" w:cs="Times New Roman"/>
          <w:sz w:val="24"/>
          <w:szCs w:val="24"/>
        </w:rPr>
        <w:t xml:space="preserve"> This transaction only applies to DOD Working Capital Fund. Also </w:t>
      </w:r>
      <w:proofErr w:type="gramStart"/>
      <w:r w:rsidRPr="00EB79C9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Pr="00EB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86317D" w14:textId="24738ACB" w:rsidR="00EB79C9" w:rsidRP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B79C9">
        <w:rPr>
          <w:rFonts w:ascii="Times New Roman" w:hAnsi="Times New Roman" w:cs="Times New Roman"/>
          <w:color w:val="0070C0"/>
          <w:sz w:val="24"/>
          <w:szCs w:val="24"/>
        </w:rPr>
        <w:t>reversal of</w:t>
      </w:r>
      <w:r w:rsidRPr="00EB79C9">
        <w:rPr>
          <w:rFonts w:ascii="Times New Roman" w:hAnsi="Times New Roman" w:cs="Times New Roman"/>
          <w:sz w:val="24"/>
          <w:szCs w:val="24"/>
        </w:rPr>
        <w:t xml:space="preserve"> USSGL TC A123.  </w:t>
      </w:r>
    </w:p>
    <w:p w14:paraId="5D662047" w14:textId="77777777" w:rsidR="00EB79C9" w:rsidRDefault="00EB79C9" w:rsidP="00EB79C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2E25774E" w14:textId="0E55FC3F" w:rsidR="00EB79C9" w:rsidRPr="00EB79C9" w:rsidRDefault="00EB79C9" w:rsidP="00EB79C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B79C9">
        <w:rPr>
          <w:rFonts w:ascii="Times New Roman" w:hAnsi="Times New Roman" w:cs="Times New Roman"/>
          <w:b/>
          <w:bCs/>
          <w:sz w:val="24"/>
          <w:szCs w:val="24"/>
        </w:rPr>
        <w:t xml:space="preserve">Budgetary Entry  </w:t>
      </w:r>
    </w:p>
    <w:p w14:paraId="782C4983" w14:textId="3D93EBEB" w:rsid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9C9">
        <w:rPr>
          <w:rFonts w:ascii="Times New Roman" w:hAnsi="Times New Roman" w:cs="Times New Roman"/>
          <w:sz w:val="24"/>
          <w:szCs w:val="24"/>
        </w:rPr>
        <w:t>Debit</w:t>
      </w:r>
      <w:r>
        <w:rPr>
          <w:rFonts w:ascii="Times New Roman" w:hAnsi="Times New Roman" w:cs="Times New Roman"/>
          <w:sz w:val="24"/>
          <w:szCs w:val="24"/>
        </w:rPr>
        <w:tab/>
      </w:r>
      <w:r w:rsidR="00D6355D">
        <w:rPr>
          <w:rFonts w:ascii="Times New Roman" w:hAnsi="Times New Roman" w:cs="Times New Roman"/>
          <w:sz w:val="24"/>
          <w:szCs w:val="24"/>
        </w:rPr>
        <w:t xml:space="preserve">   </w:t>
      </w:r>
      <w:r w:rsidRPr="00EB79C9">
        <w:rPr>
          <w:rFonts w:ascii="Times New Roman" w:hAnsi="Times New Roman" w:cs="Times New Roman"/>
          <w:sz w:val="24"/>
          <w:szCs w:val="24"/>
        </w:rPr>
        <w:t xml:space="preserve">421100 Anticipated Reimbursements Used for Substitution or Liquidation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EBE94" w14:textId="30789925" w:rsidR="00EB79C9" w:rsidRP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355D">
        <w:rPr>
          <w:rFonts w:ascii="Times New Roman" w:hAnsi="Times New Roman" w:cs="Times New Roman"/>
          <w:sz w:val="24"/>
          <w:szCs w:val="24"/>
        </w:rPr>
        <w:t xml:space="preserve">   </w:t>
      </w:r>
      <w:r w:rsidRPr="00EB79C9">
        <w:rPr>
          <w:rFonts w:ascii="Times New Roman" w:hAnsi="Times New Roman" w:cs="Times New Roman"/>
          <w:sz w:val="24"/>
          <w:szCs w:val="24"/>
        </w:rPr>
        <w:t xml:space="preserve">Contract Authority     </w:t>
      </w:r>
    </w:p>
    <w:p w14:paraId="43C22C66" w14:textId="107CC045" w:rsidR="00EB79C9" w:rsidRP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B79C9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79C9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B79C9">
        <w:rPr>
          <w:rFonts w:ascii="Times New Roman" w:hAnsi="Times New Roman" w:cs="Times New Roman"/>
          <w:sz w:val="24"/>
          <w:szCs w:val="24"/>
        </w:rPr>
        <w:t xml:space="preserve">413200 Substitution of Contract Authority  </w:t>
      </w:r>
    </w:p>
    <w:p w14:paraId="52D57DAF" w14:textId="77777777" w:rsidR="00EB79C9" w:rsidRDefault="00EB79C9" w:rsidP="00EB79C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0B2E2FFB" w14:textId="18DD683D" w:rsidR="00EB79C9" w:rsidRPr="00EB79C9" w:rsidRDefault="00EB79C9" w:rsidP="00EB79C9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B79C9">
        <w:rPr>
          <w:rFonts w:ascii="Times New Roman" w:hAnsi="Times New Roman" w:cs="Times New Roman"/>
          <w:b/>
          <w:bCs/>
          <w:sz w:val="24"/>
          <w:szCs w:val="24"/>
        </w:rPr>
        <w:t xml:space="preserve">Proprietary Entry  </w:t>
      </w:r>
    </w:p>
    <w:p w14:paraId="05F36B61" w14:textId="58D9B81F" w:rsidR="00EB79C9" w:rsidRDefault="00EB79C9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79C9">
        <w:rPr>
          <w:rFonts w:ascii="Times New Roman" w:hAnsi="Times New Roman" w:cs="Times New Roman"/>
          <w:sz w:val="24"/>
          <w:szCs w:val="24"/>
        </w:rPr>
        <w:t>None</w:t>
      </w:r>
    </w:p>
    <w:p w14:paraId="0FDDDC55" w14:textId="77777777" w:rsidR="00D6355D" w:rsidRDefault="00D6355D" w:rsidP="00EB79C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CD9A1A" w14:textId="05282AD3" w:rsidR="00D6355D" w:rsidRPr="00C87F69" w:rsidRDefault="00D6355D" w:rsidP="00D6355D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  <w:r w:rsidRPr="00C87F69">
        <w:rPr>
          <w:rFonts w:ascii="TimesNewRoman" w:hAnsi="TimesNewRoman" w:cs="Courier New"/>
          <w:i/>
          <w:iCs/>
          <w:sz w:val="24"/>
          <w:szCs w:val="24"/>
        </w:rPr>
        <w:t xml:space="preserve">Justification: </w:t>
      </w:r>
      <w:r>
        <w:rPr>
          <w:rFonts w:ascii="TimesNewRoman" w:hAnsi="TimesNewRoman" w:cs="Courier New"/>
          <w:i/>
          <w:iCs/>
          <w:sz w:val="24"/>
          <w:szCs w:val="24"/>
        </w:rPr>
        <w:t>Update transaction to also post the reversal of TC A123.</w:t>
      </w:r>
    </w:p>
    <w:p w14:paraId="45C9D0B4" w14:textId="77777777" w:rsidR="00EB79C9" w:rsidRDefault="00EB79C9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4"/>
          <w:szCs w:val="24"/>
        </w:rPr>
      </w:pPr>
    </w:p>
    <w:p w14:paraId="5C455BB5" w14:textId="77777777" w:rsidR="00EB79C9" w:rsidRDefault="00EB79C9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4"/>
          <w:szCs w:val="24"/>
        </w:rPr>
      </w:pPr>
    </w:p>
    <w:p w14:paraId="0233368B" w14:textId="6A5865C6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>A532</w:t>
      </w:r>
      <w:r w:rsidRPr="00B8046F">
        <w:rPr>
          <w:rFonts w:ascii="TimesNewRoman" w:hAnsi="TimesNewRoman" w:cs="Courier New"/>
          <w:sz w:val="24"/>
          <w:szCs w:val="24"/>
        </w:rPr>
        <w:tab/>
        <w:t>To record the receivable for amounts to be transferred in of unrealized non-expenditure (non-allocation) appropriation transfers between two trust funds or two federal funds (as defined by the Office of Management and Budget), where there is investment authority involved.</w:t>
      </w:r>
    </w:p>
    <w:p w14:paraId="01C034A9" w14:textId="48DACE3B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For cash management purposes, the funds remain invested until needed for disbursement. This occurs prior to the request for SF 1151: </w:t>
      </w:r>
      <w:proofErr w:type="spellStart"/>
      <w:r w:rsidRPr="00B8046F">
        <w:rPr>
          <w:rFonts w:ascii="TimesNewRoman" w:hAnsi="TimesNewRoman" w:cs="Courier New"/>
          <w:sz w:val="24"/>
          <w:szCs w:val="24"/>
        </w:rPr>
        <w:t>Nonexpenditure</w:t>
      </w:r>
      <w:proofErr w:type="spellEnd"/>
      <w:r w:rsidRPr="00B8046F">
        <w:rPr>
          <w:rFonts w:ascii="TimesNewRoman" w:hAnsi="TimesNewRoman" w:cs="Courier New"/>
          <w:sz w:val="24"/>
          <w:szCs w:val="24"/>
        </w:rPr>
        <w:t xml:space="preserve"> Transfer Authorization and is only permissible under specific circumstances. </w:t>
      </w:r>
      <w:r w:rsidRPr="00610F03">
        <w:rPr>
          <w:rFonts w:ascii="TimesNewRoman" w:hAnsi="TimesNewRoman" w:cs="Courier New"/>
          <w:sz w:val="24"/>
          <w:szCs w:val="24"/>
        </w:rPr>
        <w:t>Use USSGL account 416000 if the transfer was previously anticipated, and post USSGL TC A123</w:t>
      </w:r>
      <w:r w:rsidRPr="00B8046F">
        <w:rPr>
          <w:rFonts w:ascii="TimesNewRoman" w:hAnsi="TimesNewRoman" w:cs="Courier New"/>
          <w:sz w:val="24"/>
          <w:szCs w:val="24"/>
        </w:rPr>
        <w:t>.</w:t>
      </w:r>
    </w:p>
    <w:p w14:paraId="45B0F9C9" w14:textId="6F8C329E" w:rsidR="00B8046F" w:rsidRPr="00B6148F" w:rsidRDefault="00B8046F" w:rsidP="00B6148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Reference:</w:t>
      </w: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USSGL implementation guidance; Trust and Special Fund Guidance on </w:t>
      </w:r>
      <w:proofErr w:type="spellStart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Nonexpenditure</w:t>
      </w:r>
      <w:proofErr w:type="spellEnd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 Non-Allocation Transfers of Invested Balances</w:t>
      </w:r>
      <w:r w:rsidR="00B6148F" w:rsidRPr="00B6148F">
        <w:rPr>
          <w:rFonts w:ascii="TimesNewRoman" w:hAnsi="TimesNewRoman" w:cs="Courier New"/>
          <w:strike/>
          <w:color w:val="FF0000"/>
          <w:sz w:val="24"/>
          <w:szCs w:val="24"/>
        </w:rPr>
        <w:t>.</w:t>
      </w:r>
      <w:r w:rsidR="00382672" w:rsidRPr="00B6148F">
        <w:rPr>
          <w:rFonts w:ascii="TimesNewRoman" w:hAnsi="TimesNewRoman" w:cs="Courier New"/>
          <w:color w:val="FF0000"/>
          <w:sz w:val="24"/>
          <w:szCs w:val="24"/>
        </w:rPr>
        <w:t xml:space="preserve"> </w:t>
      </w:r>
      <w:r w:rsidR="00B6148F" w:rsidRPr="00B6148F">
        <w:rPr>
          <w:rFonts w:ascii="TimesNewRoman" w:hAnsi="TimesNewRoman" w:cs="Courier New"/>
          <w:color w:val="4472C4" w:themeColor="accent1"/>
          <w:sz w:val="24"/>
          <w:szCs w:val="24"/>
        </w:rPr>
        <w:t>Pending USSGL implementation guidance; Non-Expenditure Transfers Scenario</w:t>
      </w:r>
      <w:r w:rsidR="00B6148F">
        <w:rPr>
          <w:rFonts w:ascii="TimesNewRoman" w:hAnsi="TimesNewRoman" w:cs="Courier New"/>
          <w:color w:val="4472C4" w:themeColor="accent1"/>
          <w:sz w:val="24"/>
          <w:szCs w:val="24"/>
        </w:rPr>
        <w:t>.</w:t>
      </w:r>
    </w:p>
    <w:p w14:paraId="316B5BF2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732F690D" w14:textId="4DEFBABF" w:rsidR="00850D18" w:rsidRDefault="00B8046F" w:rsidP="0038267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>Debit</w:t>
      </w:r>
      <w:r w:rsidRPr="00B8046F">
        <w:rPr>
          <w:rFonts w:ascii="TimesNewRoman" w:hAnsi="TimesNewRoman" w:cs="Courier New"/>
          <w:sz w:val="24"/>
          <w:szCs w:val="24"/>
        </w:rPr>
        <w:tab/>
        <w:t>417100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Non-Allocation Transfers of Invested Balances </w:t>
      </w:r>
      <w:r w:rsidR="00850D18">
        <w:rPr>
          <w:rFonts w:ascii="TimesNewRoman" w:hAnsi="TimesNewRoman" w:cs="Courier New"/>
          <w:sz w:val="24"/>
          <w:szCs w:val="24"/>
        </w:rPr>
        <w:t>–</w:t>
      </w:r>
      <w:r w:rsidRPr="00B8046F">
        <w:rPr>
          <w:rFonts w:ascii="TimesNewRoman" w:hAnsi="TimesNewRoman" w:cs="Courier New"/>
          <w:sz w:val="24"/>
          <w:szCs w:val="24"/>
        </w:rPr>
        <w:t xml:space="preserve"> Receivable</w:t>
      </w:r>
    </w:p>
    <w:p w14:paraId="17CA3402" w14:textId="54744372" w:rsidR="00610F03" w:rsidRPr="00B8046F" w:rsidRDefault="00610F03" w:rsidP="0038267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</w:t>
      </w:r>
      <w:r w:rsidRPr="00610F03">
        <w:rPr>
          <w:rFonts w:ascii="TimesNewRoman" w:hAnsi="TimesNewRoman" w:cs="Courier New"/>
          <w:color w:val="4472C4" w:themeColor="accent1"/>
          <w:sz w:val="24"/>
          <w:szCs w:val="24"/>
        </w:rPr>
        <w:t xml:space="preserve">Debit </w:t>
      </w:r>
      <w:r w:rsidRPr="00610F03">
        <w:rPr>
          <w:rFonts w:ascii="TimesNewRoman" w:hAnsi="TimesNewRoman" w:cs="Courier New"/>
          <w:color w:val="4472C4" w:themeColor="accent1"/>
          <w:sz w:val="24"/>
          <w:szCs w:val="24"/>
        </w:rPr>
        <w:tab/>
        <w:t>449000</w:t>
      </w:r>
      <w:r w:rsidR="002100E9">
        <w:rPr>
          <w:rFonts w:ascii="TimesNewRoman" w:hAnsi="TimesNewRoman" w:cs="Courier New"/>
          <w:color w:val="4472C4" w:themeColor="accent1"/>
          <w:sz w:val="24"/>
          <w:szCs w:val="24"/>
        </w:rPr>
        <w:t xml:space="preserve">      Anticipated Resources – Unapportioned Authority</w:t>
      </w:r>
    </w:p>
    <w:p w14:paraId="3BCB6E25" w14:textId="23E0D1E3" w:rsidR="00B8046F" w:rsidRPr="00610F03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 xml:space="preserve">   </w:t>
      </w:r>
      <w:r w:rsidRPr="00610F03">
        <w:rPr>
          <w:rFonts w:ascii="TimesNewRoman" w:hAnsi="TimesNewRoman" w:cs="Courier New"/>
          <w:sz w:val="24"/>
          <w:szCs w:val="24"/>
        </w:rPr>
        <w:t>Credit</w:t>
      </w:r>
      <w:r w:rsidRPr="00610F03">
        <w:rPr>
          <w:rFonts w:ascii="TimesNewRoman" w:hAnsi="TimesNewRoman" w:cs="Courier New"/>
          <w:sz w:val="24"/>
          <w:szCs w:val="24"/>
        </w:rPr>
        <w:tab/>
        <w:t xml:space="preserve">   416000</w:t>
      </w:r>
      <w:r w:rsidRPr="00610F03">
        <w:rPr>
          <w:rFonts w:ascii="TimesNewRoman" w:hAnsi="TimesNewRoman" w:cs="Courier New"/>
          <w:sz w:val="24"/>
          <w:szCs w:val="24"/>
        </w:rPr>
        <w:tab/>
      </w:r>
      <w:r w:rsidRPr="00610F03">
        <w:rPr>
          <w:rFonts w:ascii="TimesNewRoman" w:hAnsi="TimesNewRoman" w:cs="Courier New"/>
          <w:sz w:val="24"/>
          <w:szCs w:val="24"/>
        </w:rPr>
        <w:tab/>
        <w:t xml:space="preserve">Anticipated Transfers </w:t>
      </w:r>
      <w:r w:rsidR="00850D18" w:rsidRPr="00610F03">
        <w:rPr>
          <w:rFonts w:ascii="TimesNewRoman" w:hAnsi="TimesNewRoman" w:cs="Courier New"/>
          <w:sz w:val="24"/>
          <w:szCs w:val="24"/>
        </w:rPr>
        <w:t>–</w:t>
      </w:r>
      <w:r w:rsidRPr="00610F03">
        <w:rPr>
          <w:rFonts w:ascii="TimesNewRoman" w:hAnsi="TimesNewRoman" w:cs="Courier New"/>
          <w:sz w:val="24"/>
          <w:szCs w:val="24"/>
        </w:rPr>
        <w:t xml:space="preserve"> Current-Year Authority</w:t>
      </w:r>
    </w:p>
    <w:p w14:paraId="064D6793" w14:textId="676F46A8" w:rsidR="00B8046F" w:rsidRPr="00382672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 xml:space="preserve">   </w:t>
      </w:r>
      <w:r w:rsidRPr="00382672">
        <w:rPr>
          <w:rFonts w:ascii="TimesNewRoman" w:hAnsi="TimesNewRoman" w:cs="Courier New"/>
          <w:sz w:val="24"/>
          <w:szCs w:val="24"/>
        </w:rPr>
        <w:t>Credit</w:t>
      </w:r>
      <w:r w:rsidRPr="00382672">
        <w:rPr>
          <w:rFonts w:ascii="TimesNewRoman" w:hAnsi="TimesNewRoman" w:cs="Courier New"/>
          <w:sz w:val="24"/>
          <w:szCs w:val="24"/>
        </w:rPr>
        <w:tab/>
        <w:t xml:space="preserve">   445000</w:t>
      </w:r>
      <w:r w:rsidRPr="00382672">
        <w:rPr>
          <w:rFonts w:ascii="TimesNewRoman" w:hAnsi="TimesNewRoman" w:cs="Courier New"/>
          <w:sz w:val="24"/>
          <w:szCs w:val="24"/>
        </w:rPr>
        <w:tab/>
      </w:r>
      <w:r w:rsidRPr="00382672">
        <w:rPr>
          <w:rFonts w:ascii="TimesNewRoman" w:hAnsi="TimesNewRoman" w:cs="Courier New"/>
          <w:sz w:val="24"/>
          <w:szCs w:val="24"/>
        </w:rPr>
        <w:tab/>
        <w:t xml:space="preserve">Unapportioned </w:t>
      </w:r>
      <w:r w:rsidR="00850D18" w:rsidRPr="00382672">
        <w:rPr>
          <w:rFonts w:ascii="TimesNewRoman" w:hAnsi="TimesNewRoman" w:cs="Courier New"/>
          <w:sz w:val="24"/>
          <w:szCs w:val="24"/>
        </w:rPr>
        <w:t>–</w:t>
      </w:r>
      <w:r w:rsidRPr="00382672">
        <w:rPr>
          <w:rFonts w:ascii="TimesNewRoman" w:hAnsi="TimesNewRoman" w:cs="Courier New"/>
          <w:sz w:val="24"/>
          <w:szCs w:val="24"/>
        </w:rPr>
        <w:t xml:space="preserve"> Unexpired Authority</w:t>
      </w:r>
      <w:r w:rsidR="00850D18" w:rsidRPr="00382672">
        <w:rPr>
          <w:rFonts w:ascii="TimesNewRoman" w:hAnsi="TimesNewRoman" w:cs="Courier New"/>
          <w:sz w:val="24"/>
          <w:szCs w:val="24"/>
        </w:rPr>
        <w:t xml:space="preserve">  </w:t>
      </w:r>
    </w:p>
    <w:p w14:paraId="628B159E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0CC9367A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>Debit</w:t>
      </w:r>
      <w:r w:rsidRPr="00B8046F">
        <w:rPr>
          <w:rFonts w:ascii="TimesNewRoman" w:hAnsi="TimesNewRoman" w:cs="Courier New"/>
          <w:sz w:val="24"/>
          <w:szCs w:val="24"/>
        </w:rPr>
        <w:tab/>
        <w:t>133000</w:t>
      </w:r>
      <w:r w:rsidRPr="00B8046F">
        <w:rPr>
          <w:rFonts w:ascii="TimesNewRoman" w:hAnsi="TimesNewRoman" w:cs="Courier New"/>
          <w:sz w:val="24"/>
          <w:szCs w:val="24"/>
        </w:rPr>
        <w:tab/>
        <w:t>Receivable for Transfers of Currently Invested Balances</w:t>
      </w:r>
    </w:p>
    <w:p w14:paraId="1E3BA543" w14:textId="22FA4099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 xml:space="preserve">   Credit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   575500</w:t>
      </w:r>
      <w:r w:rsidRPr="00B8046F">
        <w:rPr>
          <w:rFonts w:ascii="TimesNewRoman" w:hAnsi="TimesNewRoman" w:cs="Courier New"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ab/>
        <w:t>Non-Expenditure Financing Sources - Transfers-In – Other</w:t>
      </w:r>
    </w:p>
    <w:p w14:paraId="4C841571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</w:p>
    <w:p w14:paraId="39FEB57A" w14:textId="488E7C9B" w:rsidR="00B8046F" w:rsidRPr="00C87F69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  <w:r w:rsidRPr="00C87F69">
        <w:rPr>
          <w:rFonts w:ascii="TimesNewRoman" w:hAnsi="TimesNewRoman" w:cs="Courier New"/>
          <w:i/>
          <w:iCs/>
          <w:sz w:val="24"/>
          <w:szCs w:val="24"/>
        </w:rPr>
        <w:t>Justification:  Update required to allow this transaction code to pair with TC A534</w:t>
      </w:r>
      <w:r w:rsidR="007F04F7">
        <w:rPr>
          <w:rFonts w:ascii="TimesNewRoman" w:hAnsi="TimesNewRoman" w:cs="Courier New"/>
          <w:i/>
          <w:iCs/>
          <w:sz w:val="24"/>
          <w:szCs w:val="24"/>
        </w:rPr>
        <w:t xml:space="preserve"> and the new non-expenditure transfer scenario being developed.</w:t>
      </w:r>
    </w:p>
    <w:p w14:paraId="16673937" w14:textId="77777777" w:rsidR="005D6910" w:rsidRDefault="005D6910" w:rsidP="007F04F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sz w:val="24"/>
          <w:szCs w:val="24"/>
        </w:rPr>
      </w:pPr>
    </w:p>
    <w:p w14:paraId="36753351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lastRenderedPageBreak/>
        <w:t>A534</w:t>
      </w:r>
      <w:r w:rsidRPr="00B8046F">
        <w:rPr>
          <w:rFonts w:ascii="TimesNewRoman" w:hAnsi="TimesNewRoman" w:cs="Courier New"/>
          <w:sz w:val="24"/>
          <w:szCs w:val="24"/>
        </w:rPr>
        <w:tab/>
        <w:t>To record the payable for amounts to be transferred out of unrealized non-expenditure (non-allocation) appropriation transfers between two trust funds or two federal funds (as defined by the Office of Management and Budget), where there is investment authority involved.</w:t>
      </w:r>
    </w:p>
    <w:p w14:paraId="493E8BC2" w14:textId="5679DBE5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Comment: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For cash management purposes, the funds remain invested until needed for disbursement. This occurs prior to the request for SF 1151: </w:t>
      </w:r>
      <w:proofErr w:type="spellStart"/>
      <w:r w:rsidRPr="00B8046F">
        <w:rPr>
          <w:rFonts w:ascii="TimesNewRoman" w:hAnsi="TimesNewRoman" w:cs="Courier New"/>
          <w:sz w:val="24"/>
          <w:szCs w:val="24"/>
        </w:rPr>
        <w:t>Nonexpenditure</w:t>
      </w:r>
      <w:proofErr w:type="spellEnd"/>
      <w:r w:rsidRPr="00B8046F">
        <w:rPr>
          <w:rFonts w:ascii="TimesNewRoman" w:hAnsi="TimesNewRoman" w:cs="Courier New"/>
          <w:sz w:val="24"/>
          <w:szCs w:val="24"/>
        </w:rPr>
        <w:t xml:space="preserve"> Transfer Authorization and is only permissible under specific circumstances. While it is acceptable to debit USSGL accounts </w:t>
      </w:r>
      <w:r w:rsidRPr="00A177BE">
        <w:rPr>
          <w:rFonts w:ascii="TimesNewRoman" w:hAnsi="TimesNewRoman" w:cs="Courier New"/>
          <w:color w:val="4472C4" w:themeColor="accent1"/>
          <w:sz w:val="24"/>
          <w:szCs w:val="24"/>
        </w:rPr>
        <w:t>445000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, 451000, 461000, &amp; 462000 </w:t>
      </w:r>
      <w:r w:rsidRPr="00B8046F">
        <w:rPr>
          <w:rFonts w:ascii="TimesNewRoman" w:hAnsi="TimesNewRoman" w:cs="Courier New"/>
          <w:sz w:val="24"/>
          <w:szCs w:val="24"/>
        </w:rPr>
        <w:t>in this situation, it is never acceptable for the balance in any of these accounts to be a debit.</w:t>
      </w:r>
    </w:p>
    <w:p w14:paraId="7F846970" w14:textId="2FD51503" w:rsidR="00B8046F" w:rsidRPr="00B6148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Reference:</w:t>
      </w:r>
      <w:r w:rsidRPr="00B6148F">
        <w:rPr>
          <w:rFonts w:ascii="TimesNewRoman" w:hAnsi="TimesNewRoman" w:cs="Courier New"/>
          <w:b/>
          <w:color w:val="FF0000"/>
          <w:sz w:val="24"/>
          <w:szCs w:val="24"/>
        </w:rPr>
        <w:tab/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USSGL implementation guidance; Trust and Special Fund Guidance on </w:t>
      </w:r>
      <w:proofErr w:type="spellStart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Nonexpenditure</w:t>
      </w:r>
      <w:proofErr w:type="spellEnd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 Non-Allocation Transfers of Invested Balances</w:t>
      </w:r>
      <w:r w:rsidR="00382672"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 </w:t>
      </w:r>
      <w:r w:rsidR="00382672" w:rsidRPr="00B6148F">
        <w:rPr>
          <w:rFonts w:ascii="TimesNewRoman" w:hAnsi="TimesNewRoman" w:cs="Courier New"/>
          <w:color w:val="4472C4" w:themeColor="accent1"/>
          <w:sz w:val="24"/>
          <w:szCs w:val="24"/>
        </w:rPr>
        <w:t>Pending</w:t>
      </w:r>
      <w:r w:rsidR="00B6148F" w:rsidRPr="00B6148F">
        <w:rPr>
          <w:rFonts w:ascii="TimesNewRoman" w:hAnsi="TimesNewRoman" w:cs="Courier New"/>
          <w:color w:val="4472C4" w:themeColor="accent1"/>
          <w:sz w:val="24"/>
          <w:szCs w:val="24"/>
        </w:rPr>
        <w:t xml:space="preserve"> USSGL implementation guidance;</w:t>
      </w:r>
      <w:r w:rsidR="00382672" w:rsidRPr="00B6148F">
        <w:rPr>
          <w:rFonts w:ascii="TimesNewRoman" w:hAnsi="TimesNewRoman" w:cs="Courier New"/>
          <w:color w:val="4472C4" w:themeColor="accent1"/>
          <w:sz w:val="24"/>
          <w:szCs w:val="24"/>
        </w:rPr>
        <w:t xml:space="preserve"> Non-Expenditure Transfers Scenario</w:t>
      </w:r>
      <w:r w:rsidR="00B6148F">
        <w:rPr>
          <w:rFonts w:ascii="TimesNewRoman" w:hAnsi="TimesNewRoman" w:cs="Courier New"/>
          <w:color w:val="4472C4" w:themeColor="accent1"/>
          <w:sz w:val="24"/>
          <w:szCs w:val="24"/>
        </w:rPr>
        <w:t>.</w:t>
      </w:r>
    </w:p>
    <w:p w14:paraId="125D1FF0" w14:textId="01095D0B" w:rsidR="00B8046F" w:rsidRPr="00A177BE" w:rsidRDefault="00B8046F" w:rsidP="00A177B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Budgetary Entry</w:t>
      </w:r>
    </w:p>
    <w:p w14:paraId="3E99018B" w14:textId="5B9819C1" w:rsid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bCs/>
          <w:color w:val="4472C4" w:themeColor="accent1"/>
          <w:sz w:val="24"/>
          <w:szCs w:val="24"/>
        </w:rPr>
      </w:pPr>
      <w:r w:rsidRPr="00B8046F">
        <w:rPr>
          <w:rFonts w:ascii="TimesNewRoman" w:hAnsi="TimesNewRoman" w:cs="Courier New"/>
          <w:b/>
          <w:color w:val="4472C4" w:themeColor="accent1"/>
          <w:sz w:val="24"/>
          <w:szCs w:val="24"/>
        </w:rPr>
        <w:tab/>
      </w:r>
      <w:r w:rsidRPr="00A177BE">
        <w:rPr>
          <w:rFonts w:ascii="TimesNewRoman" w:hAnsi="TimesNewRoman" w:cs="Courier New"/>
          <w:bCs/>
          <w:color w:val="4472C4" w:themeColor="accent1"/>
          <w:sz w:val="24"/>
          <w:szCs w:val="24"/>
        </w:rPr>
        <w:t>Debit</w:t>
      </w:r>
      <w:r w:rsidRPr="00A177BE">
        <w:rPr>
          <w:rFonts w:ascii="TimesNewRoman" w:hAnsi="TimesNewRoman" w:cs="Courier New"/>
          <w:bCs/>
          <w:color w:val="4472C4" w:themeColor="accent1"/>
          <w:sz w:val="24"/>
          <w:szCs w:val="24"/>
        </w:rPr>
        <w:tab/>
        <w:t>445000      Unapportioned – Unexpired Authority</w:t>
      </w:r>
    </w:p>
    <w:p w14:paraId="1E5CB12E" w14:textId="21C3476E" w:rsidR="00FB56CB" w:rsidRPr="00A177BE" w:rsidRDefault="00FB56CB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bCs/>
          <w:color w:val="4472C4" w:themeColor="accent1"/>
          <w:sz w:val="24"/>
          <w:szCs w:val="24"/>
        </w:rPr>
      </w:pPr>
      <w:r>
        <w:rPr>
          <w:rFonts w:ascii="TimesNewRoman" w:hAnsi="TimesNewRoman" w:cs="Courier New"/>
          <w:bCs/>
          <w:color w:val="4472C4" w:themeColor="accent1"/>
          <w:sz w:val="24"/>
          <w:szCs w:val="24"/>
        </w:rPr>
        <w:tab/>
        <w:t>Debit</w:t>
      </w:r>
      <w:r>
        <w:rPr>
          <w:rFonts w:ascii="TimesNewRoman" w:hAnsi="TimesNewRoman" w:cs="Courier New"/>
          <w:bCs/>
          <w:color w:val="4472C4" w:themeColor="accent1"/>
          <w:sz w:val="24"/>
          <w:szCs w:val="24"/>
        </w:rPr>
        <w:tab/>
        <w:t>416000</w:t>
      </w:r>
      <w:r w:rsidR="002100E9">
        <w:rPr>
          <w:rFonts w:ascii="TimesNewRoman" w:hAnsi="TimesNewRoman" w:cs="Courier New"/>
          <w:bCs/>
          <w:color w:val="4472C4" w:themeColor="accent1"/>
          <w:sz w:val="24"/>
          <w:szCs w:val="24"/>
        </w:rPr>
        <w:t xml:space="preserve">      Anticipated Resources - Unapportioned Authority</w:t>
      </w:r>
    </w:p>
    <w:p w14:paraId="19964548" w14:textId="0EDD1860" w:rsidR="00B8046F" w:rsidRPr="00B6148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Debit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>451000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>Apportionments</w:t>
      </w:r>
    </w:p>
    <w:p w14:paraId="34ECA6FC" w14:textId="77777777" w:rsidR="00B8046F" w:rsidRPr="00B6148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4"/>
          <w:szCs w:val="24"/>
        </w:rPr>
      </w:pPr>
      <w:r w:rsidRPr="00B6148F">
        <w:rPr>
          <w:rFonts w:ascii="TimesNewRoman" w:hAnsi="TimesNewRoman" w:cs="Courier New"/>
          <w:b/>
          <w:color w:val="FF0000"/>
          <w:sz w:val="24"/>
          <w:szCs w:val="24"/>
        </w:rPr>
        <w:tab/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Debit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>461000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>Allotments - Realized Resources</w:t>
      </w:r>
    </w:p>
    <w:p w14:paraId="75CEE47D" w14:textId="77777777" w:rsidR="00B8046F" w:rsidRPr="00B6148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4"/>
          <w:szCs w:val="24"/>
        </w:rPr>
      </w:pPr>
      <w:r w:rsidRPr="00B6148F">
        <w:rPr>
          <w:rFonts w:ascii="TimesNewRoman" w:hAnsi="TimesNewRoman" w:cs="Courier New"/>
          <w:b/>
          <w:color w:val="FF0000"/>
          <w:sz w:val="24"/>
          <w:szCs w:val="24"/>
        </w:rPr>
        <w:tab/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Debit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>462000</w:t>
      </w:r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ab/>
        <w:t xml:space="preserve">Unobligated Funds Exempt </w:t>
      </w:r>
      <w:proofErr w:type="gramStart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>From</w:t>
      </w:r>
      <w:proofErr w:type="gramEnd"/>
      <w:r w:rsidRPr="00B6148F">
        <w:rPr>
          <w:rFonts w:ascii="TimesNewRoman" w:hAnsi="TimesNewRoman" w:cs="Courier New"/>
          <w:strike/>
          <w:color w:val="FF0000"/>
          <w:sz w:val="24"/>
          <w:szCs w:val="24"/>
        </w:rPr>
        <w:t xml:space="preserve"> Apportionment</w:t>
      </w:r>
    </w:p>
    <w:p w14:paraId="1D20928A" w14:textId="426CF512" w:rsid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 xml:space="preserve">   Credit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   417200</w:t>
      </w:r>
      <w:r w:rsidRPr="00B8046F">
        <w:rPr>
          <w:rFonts w:ascii="TimesNewRoman" w:hAnsi="TimesNewRoman" w:cs="Courier New"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Non-Allocation Transfers of Invested Balances </w:t>
      </w:r>
      <w:r w:rsidR="00850D18">
        <w:rPr>
          <w:rFonts w:ascii="TimesNewRoman" w:hAnsi="TimesNewRoman" w:cs="Courier New"/>
          <w:sz w:val="24"/>
          <w:szCs w:val="24"/>
        </w:rPr>
        <w:t>–</w:t>
      </w:r>
      <w:r w:rsidRPr="00B8046F">
        <w:rPr>
          <w:rFonts w:ascii="TimesNewRoman" w:hAnsi="TimesNewRoman" w:cs="Courier New"/>
          <w:sz w:val="24"/>
          <w:szCs w:val="24"/>
        </w:rPr>
        <w:t xml:space="preserve"> Payable</w:t>
      </w:r>
    </w:p>
    <w:p w14:paraId="036D7FA8" w14:textId="3F5E5A84" w:rsidR="00FB56CB" w:rsidRPr="002100E9" w:rsidRDefault="00FB56CB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color w:val="4472C4" w:themeColor="accent1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</w:t>
      </w:r>
      <w:r>
        <w:rPr>
          <w:rFonts w:ascii="TimesNewRoman" w:hAnsi="TimesNewRoman" w:cs="Courier New"/>
          <w:sz w:val="24"/>
          <w:szCs w:val="24"/>
        </w:rPr>
        <w:tab/>
        <w:t xml:space="preserve">   </w:t>
      </w:r>
      <w:r w:rsidRPr="00FB56CB">
        <w:rPr>
          <w:rFonts w:ascii="TimesNewRoman" w:hAnsi="TimesNewRoman" w:cs="Courier New"/>
          <w:color w:val="4472C4" w:themeColor="accent1"/>
          <w:sz w:val="24"/>
          <w:szCs w:val="24"/>
        </w:rPr>
        <w:t>Credit</w:t>
      </w:r>
      <w:r w:rsidRPr="00FB56CB">
        <w:rPr>
          <w:rFonts w:ascii="TimesNewRoman" w:hAnsi="TimesNewRoman" w:cs="Courier New"/>
          <w:color w:val="4472C4" w:themeColor="accent1"/>
          <w:sz w:val="24"/>
          <w:szCs w:val="24"/>
        </w:rPr>
        <w:tab/>
        <w:t xml:space="preserve">   449000</w:t>
      </w:r>
      <w:r>
        <w:rPr>
          <w:rFonts w:ascii="TimesNewRoman" w:hAnsi="TimesNewRoman" w:cs="Courier New"/>
          <w:sz w:val="24"/>
          <w:szCs w:val="24"/>
        </w:rPr>
        <w:tab/>
      </w:r>
      <w:r>
        <w:rPr>
          <w:rFonts w:ascii="TimesNewRoman" w:hAnsi="TimesNewRoman" w:cs="Courier New"/>
          <w:sz w:val="24"/>
          <w:szCs w:val="24"/>
        </w:rPr>
        <w:tab/>
      </w:r>
      <w:r w:rsidR="002100E9">
        <w:rPr>
          <w:rFonts w:ascii="TimesNewRoman" w:hAnsi="TimesNewRoman" w:cs="Courier New"/>
          <w:color w:val="4472C4" w:themeColor="accent1"/>
          <w:sz w:val="24"/>
          <w:szCs w:val="24"/>
        </w:rPr>
        <w:t>Anticipated Resources - Unapportioned Authority</w:t>
      </w:r>
    </w:p>
    <w:p w14:paraId="55F17C33" w14:textId="5E38D9CD" w:rsidR="00850D18" w:rsidRPr="00B8046F" w:rsidRDefault="00850D18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</w:t>
      </w:r>
    </w:p>
    <w:p w14:paraId="05A266D1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  <w:t>Proprietary Entry</w:t>
      </w:r>
    </w:p>
    <w:p w14:paraId="424F199F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>Debit</w:t>
      </w:r>
      <w:r w:rsidRPr="00B8046F">
        <w:rPr>
          <w:rFonts w:ascii="TimesNewRoman" w:hAnsi="TimesNewRoman" w:cs="Courier New"/>
          <w:sz w:val="24"/>
          <w:szCs w:val="24"/>
        </w:rPr>
        <w:tab/>
        <w:t>576500</w:t>
      </w:r>
      <w:r w:rsidRPr="00B8046F">
        <w:rPr>
          <w:rFonts w:ascii="TimesNewRoman" w:hAnsi="TimesNewRoman" w:cs="Courier New"/>
          <w:sz w:val="24"/>
          <w:szCs w:val="24"/>
        </w:rPr>
        <w:tab/>
        <w:t>Non-Expenditure Financing Sources - Transfers-Out - Other</w:t>
      </w:r>
    </w:p>
    <w:p w14:paraId="6F96BD5A" w14:textId="77777777" w:rsidR="00B8046F" w:rsidRP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B8046F">
        <w:rPr>
          <w:rFonts w:ascii="TimesNewRoman" w:hAnsi="TimesNewRoman" w:cs="Courier New"/>
          <w:b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 xml:space="preserve">   Credit</w:t>
      </w:r>
      <w:r w:rsidRPr="00B8046F">
        <w:rPr>
          <w:rFonts w:ascii="TimesNewRoman" w:hAnsi="TimesNewRoman" w:cs="Courier New"/>
          <w:sz w:val="24"/>
          <w:szCs w:val="24"/>
        </w:rPr>
        <w:tab/>
        <w:t xml:space="preserve">   215000</w:t>
      </w:r>
      <w:r w:rsidRPr="00B8046F">
        <w:rPr>
          <w:rFonts w:ascii="TimesNewRoman" w:hAnsi="TimesNewRoman" w:cs="Courier New"/>
          <w:sz w:val="24"/>
          <w:szCs w:val="24"/>
        </w:rPr>
        <w:tab/>
      </w:r>
      <w:r w:rsidRPr="00B8046F">
        <w:rPr>
          <w:rFonts w:ascii="TimesNewRoman" w:hAnsi="TimesNewRoman" w:cs="Courier New"/>
          <w:sz w:val="24"/>
          <w:szCs w:val="24"/>
        </w:rPr>
        <w:tab/>
        <w:t>Payable for Transfers of Currently Invested Balances</w:t>
      </w:r>
    </w:p>
    <w:p w14:paraId="5F7EE047" w14:textId="77777777" w:rsidR="005F1333" w:rsidRDefault="005F1333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</w:p>
    <w:p w14:paraId="28D78711" w14:textId="64B06E28" w:rsidR="00B8046F" w:rsidRDefault="00B8046F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  <w:r w:rsidRPr="00C87F69">
        <w:rPr>
          <w:rFonts w:ascii="TimesNewRoman" w:hAnsi="TimesNewRoman" w:cs="Courier New"/>
          <w:i/>
          <w:iCs/>
          <w:sz w:val="24"/>
          <w:szCs w:val="24"/>
        </w:rPr>
        <w:t>Justification:  Update required to allow this transaction code to pair with TC A532</w:t>
      </w:r>
      <w:r w:rsidR="007F04F7">
        <w:rPr>
          <w:rFonts w:ascii="TimesNewRoman" w:hAnsi="TimesNewRoman" w:cs="Courier New"/>
          <w:i/>
          <w:iCs/>
          <w:sz w:val="24"/>
          <w:szCs w:val="24"/>
        </w:rPr>
        <w:t xml:space="preserve"> and the new non-expenditure transfer scenario being developed.</w:t>
      </w:r>
    </w:p>
    <w:p w14:paraId="6EF9614B" w14:textId="77777777" w:rsidR="005F1333" w:rsidRDefault="005F1333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</w:p>
    <w:p w14:paraId="280B6F0C" w14:textId="77777777" w:rsidR="005F1333" w:rsidRDefault="005F1333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</w:p>
    <w:p w14:paraId="74A28512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0FDAB8C6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7B7D5C4C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39CAFC73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2A09B9B0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7EB91540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1992C2DB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69E355C1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1607D4B2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12F88BD8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45A930C4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265E90F9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4E44F0FB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639F7FE0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1BCB6362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</w:p>
    <w:p w14:paraId="60593D97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lastRenderedPageBreak/>
        <w:t>D610</w:t>
      </w:r>
      <w:r w:rsidRPr="005F1333">
        <w:rPr>
          <w:rFonts w:ascii="TimesNewRoman" w:hAnsi="TimesNewRoman" w:cs="Courier New"/>
          <w:sz w:val="24"/>
          <w:szCs w:val="24"/>
        </w:rPr>
        <w:t xml:space="preserve">     To record the realized gain from the revaluation to US dollars for Special </w:t>
      </w:r>
      <w:proofErr w:type="spellStart"/>
      <w:r w:rsidRPr="005F1333">
        <w:rPr>
          <w:rFonts w:ascii="TimesNewRoman" w:hAnsi="TimesNewRoman" w:cs="Courier New"/>
          <w:sz w:val="24"/>
          <w:szCs w:val="24"/>
        </w:rPr>
        <w:t>Drawing</w:t>
      </w:r>
      <w:proofErr w:type="spellEnd"/>
    </w:p>
    <w:p w14:paraId="6470255E" w14:textId="6ED00BF7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</w:t>
      </w:r>
      <w:r w:rsidRPr="005F1333">
        <w:rPr>
          <w:rFonts w:ascii="TimesNewRoman" w:hAnsi="TimesNewRoman" w:cs="Courier New"/>
          <w:sz w:val="24"/>
          <w:szCs w:val="24"/>
        </w:rPr>
        <w:t>Right allocations.</w:t>
      </w:r>
    </w:p>
    <w:p w14:paraId="35C14DF5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              </w:t>
      </w:r>
    </w:p>
    <w:p w14:paraId="147E74DC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</w:t>
      </w:r>
      <w:r w:rsidRPr="005F1333">
        <w:rPr>
          <w:rFonts w:ascii="TimesNewRoman" w:hAnsi="TimesNewRoman" w:cs="Courier New"/>
          <w:b/>
          <w:bCs/>
          <w:sz w:val="24"/>
          <w:szCs w:val="24"/>
        </w:rPr>
        <w:t>Comment:</w:t>
      </w:r>
      <w:r w:rsidRPr="005F1333">
        <w:rPr>
          <w:rFonts w:ascii="TimesNewRoman" w:hAnsi="TimesNewRoman" w:cs="Courier New"/>
          <w:sz w:val="24"/>
          <w:szCs w:val="24"/>
        </w:rPr>
        <w:t xml:space="preserve">       For the Department of Treasury use only. </w:t>
      </w:r>
      <w:r w:rsidRPr="005F1333">
        <w:rPr>
          <w:rFonts w:ascii="TimesNewRoman" w:hAnsi="TimesNewRoman" w:cs="Courier New"/>
          <w:strike/>
          <w:color w:val="FF0000"/>
          <w:sz w:val="24"/>
          <w:szCs w:val="24"/>
        </w:rPr>
        <w:t>While it is acceptable to credit</w:t>
      </w:r>
    </w:p>
    <w:p w14:paraId="0172A354" w14:textId="77777777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trike/>
          <w:color w:val="FF0000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                         </w:t>
      </w:r>
      <w:r w:rsidRPr="005F1333">
        <w:rPr>
          <w:rFonts w:ascii="TimesNewRoman" w:hAnsi="TimesNewRoman" w:cs="Courier New"/>
          <w:strike/>
          <w:color w:val="FF0000"/>
          <w:sz w:val="24"/>
          <w:szCs w:val="24"/>
        </w:rPr>
        <w:t xml:space="preserve">USSGL account 422200 in this situation, it is never acceptable for the </w:t>
      </w:r>
    </w:p>
    <w:p w14:paraId="3D5679F0" w14:textId="477D0F12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trike/>
          <w:color w:val="FF0000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                            </w:t>
      </w:r>
      <w:r w:rsidRPr="005F1333">
        <w:rPr>
          <w:rFonts w:ascii="TimesNewRoman" w:hAnsi="TimesNewRoman" w:cs="Courier New"/>
          <w:strike/>
          <w:color w:val="FF0000"/>
          <w:sz w:val="24"/>
          <w:szCs w:val="24"/>
        </w:rPr>
        <w:t>balance in USSGL account 422200 to be a credit.</w:t>
      </w:r>
    </w:p>
    <w:p w14:paraId="644BA3BA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              </w:t>
      </w:r>
    </w:p>
    <w:p w14:paraId="2E8838EA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 </w:t>
      </w: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Reference:      </w:t>
      </w:r>
      <w:r w:rsidRPr="005F1333">
        <w:rPr>
          <w:rFonts w:ascii="TimesNewRoman" w:hAnsi="TimesNewRoman" w:cs="Courier New"/>
          <w:sz w:val="24"/>
          <w:szCs w:val="24"/>
        </w:rPr>
        <w:t>Other USSGL Guidance: Accounting and Reporting Exchange</w:t>
      </w:r>
    </w:p>
    <w:p w14:paraId="3990D084" w14:textId="56032EE4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                          </w:t>
      </w:r>
      <w:r w:rsidRPr="005F1333">
        <w:rPr>
          <w:rFonts w:ascii="TimesNewRoman" w:hAnsi="TimesNewRoman" w:cs="Courier New"/>
          <w:sz w:val="24"/>
          <w:szCs w:val="24"/>
        </w:rPr>
        <w:t>Stabilization Fund</w:t>
      </w:r>
    </w:p>
    <w:p w14:paraId="28C6A99D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bCs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>             </w:t>
      </w:r>
    </w:p>
    <w:p w14:paraId="039C3A1D" w14:textId="732E688D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b/>
          <w:bCs/>
          <w:sz w:val="24"/>
          <w:szCs w:val="24"/>
        </w:rPr>
        <w:t xml:space="preserve">              </w:t>
      </w: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 Budgetary Entry</w:t>
      </w:r>
    </w:p>
    <w:p w14:paraId="3AAB4AD0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              </w:t>
      </w:r>
      <w:r>
        <w:rPr>
          <w:rFonts w:ascii="TimesNewRoman" w:hAnsi="TimesNewRoman" w:cs="Courier New"/>
          <w:b/>
          <w:bCs/>
          <w:sz w:val="24"/>
          <w:szCs w:val="24"/>
        </w:rPr>
        <w:t xml:space="preserve"> </w:t>
      </w:r>
      <w:r w:rsidRPr="005F1333">
        <w:rPr>
          <w:rFonts w:ascii="TimesNewRoman" w:hAnsi="TimesNewRoman" w:cs="Courier New"/>
          <w:sz w:val="24"/>
          <w:szCs w:val="24"/>
        </w:rPr>
        <w:t xml:space="preserve">Debit                 497100          Downward Adjustments of Prior-Year Unpaid Delivered </w:t>
      </w:r>
      <w:r>
        <w:rPr>
          <w:rFonts w:ascii="TimesNewRoman" w:hAnsi="TimesNewRoman" w:cs="Courier New"/>
          <w:sz w:val="24"/>
          <w:szCs w:val="24"/>
        </w:rPr>
        <w:t xml:space="preserve"> </w:t>
      </w:r>
    </w:p>
    <w:p w14:paraId="1B6E1C11" w14:textId="14028706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                                                    </w:t>
      </w:r>
      <w:r w:rsidRPr="005F1333">
        <w:rPr>
          <w:rFonts w:ascii="TimesNewRoman" w:hAnsi="TimesNewRoman" w:cs="Courier New"/>
          <w:sz w:val="24"/>
          <w:szCs w:val="24"/>
        </w:rPr>
        <w:t>Orders - Obligations, Recoveries</w:t>
      </w:r>
    </w:p>
    <w:p w14:paraId="3F096300" w14:textId="64F4336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>              </w:t>
      </w:r>
      <w:r w:rsidRPr="005F1333">
        <w:rPr>
          <w:rFonts w:ascii="TimesNewRoman" w:hAnsi="TimesNewRoman" w:cs="Courier New"/>
          <w:sz w:val="24"/>
          <w:szCs w:val="24"/>
        </w:rPr>
        <w:t xml:space="preserve">  </w:t>
      </w:r>
      <w:r>
        <w:rPr>
          <w:rFonts w:ascii="TimesNewRoman" w:hAnsi="TimesNewRoman" w:cs="Courier New"/>
          <w:sz w:val="24"/>
          <w:szCs w:val="24"/>
        </w:rPr>
        <w:t xml:space="preserve">  </w:t>
      </w:r>
      <w:r w:rsidRPr="005F1333">
        <w:rPr>
          <w:rFonts w:ascii="TimesNewRoman" w:hAnsi="TimesNewRoman" w:cs="Courier New"/>
          <w:sz w:val="24"/>
          <w:szCs w:val="24"/>
        </w:rPr>
        <w:t xml:space="preserve">Credit               463500           </w:t>
      </w:r>
      <w:r>
        <w:rPr>
          <w:rFonts w:ascii="TimesNewRoman" w:hAnsi="TimesNewRoman" w:cs="Courier New"/>
          <w:sz w:val="24"/>
          <w:szCs w:val="24"/>
        </w:rPr>
        <w:t xml:space="preserve">   </w:t>
      </w:r>
      <w:r w:rsidRPr="005F1333">
        <w:rPr>
          <w:rFonts w:ascii="TimesNewRoman" w:hAnsi="TimesNewRoman" w:cs="Courier New"/>
          <w:sz w:val="24"/>
          <w:szCs w:val="24"/>
        </w:rPr>
        <w:t xml:space="preserve">Funds Not Available - Adjustments to the Exchange </w:t>
      </w:r>
    </w:p>
    <w:p w14:paraId="6A376E1F" w14:textId="45B25651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>
        <w:rPr>
          <w:rFonts w:ascii="TimesNewRoman" w:hAnsi="TimesNewRoman" w:cs="Courier New"/>
          <w:sz w:val="24"/>
          <w:szCs w:val="24"/>
        </w:rPr>
        <w:t xml:space="preserve">                                                                     </w:t>
      </w:r>
      <w:r w:rsidRPr="005F1333">
        <w:rPr>
          <w:rFonts w:ascii="TimesNewRoman" w:hAnsi="TimesNewRoman" w:cs="Courier New"/>
          <w:sz w:val="24"/>
          <w:szCs w:val="24"/>
        </w:rPr>
        <w:t>Stabilization Fund (ESF)</w:t>
      </w:r>
    </w:p>
    <w:p w14:paraId="6B889312" w14:textId="77777777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>              Proprietary Entry</w:t>
      </w:r>
    </w:p>
    <w:p w14:paraId="717F0462" w14:textId="77777777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 xml:space="preserve">              </w:t>
      </w:r>
      <w:r w:rsidRPr="005F1333">
        <w:rPr>
          <w:rFonts w:ascii="TimesNewRoman" w:hAnsi="TimesNewRoman" w:cs="Courier New"/>
          <w:sz w:val="24"/>
          <w:szCs w:val="24"/>
        </w:rPr>
        <w:t>Debit                 219300          Allocation of Special Drawing Rights (SDRs)</w:t>
      </w:r>
    </w:p>
    <w:p w14:paraId="30D824B4" w14:textId="3359871A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5F1333">
        <w:rPr>
          <w:rFonts w:ascii="TimesNewRoman" w:hAnsi="TimesNewRoman" w:cs="Courier New"/>
          <w:b/>
          <w:bCs/>
          <w:sz w:val="24"/>
          <w:szCs w:val="24"/>
        </w:rPr>
        <w:t>              </w:t>
      </w:r>
      <w:r w:rsidRPr="005F1333">
        <w:rPr>
          <w:rFonts w:ascii="TimesNewRoman" w:hAnsi="TimesNewRoman" w:cs="Courier New"/>
          <w:sz w:val="24"/>
          <w:szCs w:val="24"/>
        </w:rPr>
        <w:t xml:space="preserve">  Credit               </w:t>
      </w:r>
      <w:r>
        <w:rPr>
          <w:rFonts w:ascii="TimesNewRoman" w:hAnsi="TimesNewRoman" w:cs="Courier New"/>
          <w:sz w:val="24"/>
          <w:szCs w:val="24"/>
        </w:rPr>
        <w:t xml:space="preserve">  </w:t>
      </w:r>
      <w:r w:rsidRPr="005F1333">
        <w:rPr>
          <w:rFonts w:ascii="TimesNewRoman" w:hAnsi="TimesNewRoman" w:cs="Courier New"/>
          <w:sz w:val="24"/>
          <w:szCs w:val="24"/>
        </w:rPr>
        <w:t>719000           Other Gains</w:t>
      </w:r>
    </w:p>
    <w:p w14:paraId="0FD5B73A" w14:textId="77777777" w:rsid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</w:p>
    <w:p w14:paraId="5DEBF7F0" w14:textId="79AFEA8A" w:rsidR="005F1333" w:rsidRPr="005F1333" w:rsidRDefault="005F1333" w:rsidP="005F1333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  <w:r w:rsidRPr="00C87F69">
        <w:rPr>
          <w:rFonts w:ascii="TimesNewRoman" w:hAnsi="TimesNewRoman" w:cs="Courier New"/>
          <w:i/>
          <w:iCs/>
          <w:sz w:val="24"/>
          <w:szCs w:val="24"/>
        </w:rPr>
        <w:t xml:space="preserve">Justification:  Update required </w:t>
      </w:r>
      <w:r>
        <w:rPr>
          <w:rFonts w:ascii="TimesNewRoman" w:hAnsi="TimesNewRoman" w:cs="Courier New"/>
          <w:i/>
          <w:iCs/>
          <w:sz w:val="24"/>
          <w:szCs w:val="24"/>
        </w:rPr>
        <w:t>because USSGL account 422200 is not in TC D610.</w:t>
      </w:r>
    </w:p>
    <w:p w14:paraId="49942946" w14:textId="77777777" w:rsidR="005F1333" w:rsidRPr="005F1333" w:rsidRDefault="005F1333" w:rsidP="00B8046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4"/>
          <w:szCs w:val="24"/>
        </w:rPr>
      </w:pPr>
    </w:p>
    <w:p w14:paraId="27F2CE0D" w14:textId="77777777" w:rsidR="00B8046F" w:rsidRPr="00B8046F" w:rsidRDefault="00B8046F">
      <w:pPr>
        <w:rPr>
          <w:sz w:val="24"/>
          <w:szCs w:val="24"/>
        </w:rPr>
      </w:pPr>
    </w:p>
    <w:sectPr w:rsidR="00B8046F" w:rsidRPr="00B8046F" w:rsidSect="005D6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6E89" w14:textId="77777777" w:rsidR="005D6910" w:rsidRDefault="005D6910" w:rsidP="005D6910">
      <w:pPr>
        <w:spacing w:after="0" w:line="240" w:lineRule="auto"/>
      </w:pPr>
      <w:r>
        <w:separator/>
      </w:r>
    </w:p>
  </w:endnote>
  <w:endnote w:type="continuationSeparator" w:id="0">
    <w:p w14:paraId="652C04A6" w14:textId="77777777" w:rsidR="005D6910" w:rsidRDefault="005D6910" w:rsidP="005D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6F02" w14:textId="77777777" w:rsidR="00B00432" w:rsidRDefault="00B00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F862" w14:textId="2B7E94B8" w:rsidR="005D6910" w:rsidRDefault="005D6910">
    <w:pPr>
      <w:pStyle w:val="Footer"/>
    </w:pPr>
    <w:r>
      <w:t>Draft</w:t>
    </w:r>
    <w:r>
      <w:ptab w:relativeTo="margin" w:alignment="center" w:leader="none"/>
    </w: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ptab w:relativeTo="margin" w:alignment="right" w:leader="none"/>
    </w:r>
    <w:r>
      <w:t xml:space="preserve">February 15, </w:t>
    </w:r>
    <w:proofErr w:type="gramStart"/>
    <w:r>
      <w:t>2024</w:t>
    </w:r>
    <w:proofErr w:type="gramEnd"/>
    <w:r>
      <w:t xml:space="preserve"> IRC Handout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AF16" w14:textId="77777777" w:rsidR="00B00432" w:rsidRDefault="00B0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441F" w14:textId="77777777" w:rsidR="005D6910" w:rsidRDefault="005D6910" w:rsidP="005D6910">
      <w:pPr>
        <w:spacing w:after="0" w:line="240" w:lineRule="auto"/>
      </w:pPr>
      <w:r>
        <w:separator/>
      </w:r>
    </w:p>
  </w:footnote>
  <w:footnote w:type="continuationSeparator" w:id="0">
    <w:p w14:paraId="7F9922AF" w14:textId="77777777" w:rsidR="005D6910" w:rsidRDefault="005D6910" w:rsidP="005D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95D7" w14:textId="77777777" w:rsidR="00B00432" w:rsidRDefault="00B00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475446"/>
      <w:docPartObj>
        <w:docPartGallery w:val="Watermarks"/>
        <w:docPartUnique/>
      </w:docPartObj>
    </w:sdtPr>
    <w:sdtEndPr/>
    <w:sdtContent>
      <w:p w14:paraId="7A6BA3FF" w14:textId="545BC9CC" w:rsidR="00B00432" w:rsidRDefault="005F1333">
        <w:pPr>
          <w:pStyle w:val="Header"/>
        </w:pPr>
        <w:r>
          <w:rPr>
            <w:noProof/>
          </w:rPr>
          <w:pict w14:anchorId="09449C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4FA2" w14:textId="77777777" w:rsidR="00B00432" w:rsidRDefault="00B004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6F"/>
    <w:rsid w:val="002100E9"/>
    <w:rsid w:val="00240D56"/>
    <w:rsid w:val="00382672"/>
    <w:rsid w:val="004B71EE"/>
    <w:rsid w:val="004E64A4"/>
    <w:rsid w:val="005D6910"/>
    <w:rsid w:val="005F1333"/>
    <w:rsid w:val="00610F03"/>
    <w:rsid w:val="00720708"/>
    <w:rsid w:val="00791BF1"/>
    <w:rsid w:val="007F04F7"/>
    <w:rsid w:val="00850D18"/>
    <w:rsid w:val="00A177BE"/>
    <w:rsid w:val="00B00432"/>
    <w:rsid w:val="00B6148F"/>
    <w:rsid w:val="00B8046F"/>
    <w:rsid w:val="00C87F69"/>
    <w:rsid w:val="00D6355D"/>
    <w:rsid w:val="00EB79C9"/>
    <w:rsid w:val="00FB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526F7F6"/>
  <w15:chartTrackingRefBased/>
  <w15:docId w15:val="{3AB9CB06-C0C2-4E99-8B5C-B7735A8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8046F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B8046F"/>
    <w:rPr>
      <w:rFonts w:ascii="Consolas" w:hAnsi="Consolas"/>
      <w:kern w:val="0"/>
      <w:sz w:val="21"/>
      <w:szCs w:val="21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D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910"/>
  </w:style>
  <w:style w:type="paragraph" w:styleId="Footer">
    <w:name w:val="footer"/>
    <w:basedOn w:val="Normal"/>
    <w:link w:val="FooterChar"/>
    <w:uiPriority w:val="99"/>
    <w:unhideWhenUsed/>
    <w:rsid w:val="005D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731</Words>
  <Characters>4373</Characters>
  <Application>Microsoft Office Word</Application>
  <DocSecurity>0</DocSecurity>
  <Lines>112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Regina D. Epperly</cp:lastModifiedBy>
  <cp:revision>7</cp:revision>
  <dcterms:created xsi:type="dcterms:W3CDTF">2024-02-06T15:39:00Z</dcterms:created>
  <dcterms:modified xsi:type="dcterms:W3CDTF">2024-02-08T16:53:00Z</dcterms:modified>
</cp:coreProperties>
</file>