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47C943DD" w:rsidR="00F52182" w:rsidRPr="00C70A55" w:rsidRDefault="00F52182" w:rsidP="00C70A5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70A55">
        <w:rPr>
          <w:rFonts w:cstheme="minorHAnsi"/>
          <w:b/>
          <w:bCs/>
          <w:sz w:val="28"/>
          <w:szCs w:val="28"/>
          <w:u w:val="single"/>
        </w:rPr>
        <w:t xml:space="preserve">Proprietary Transaction Code </w:t>
      </w:r>
      <w:r w:rsidR="00BB25CF" w:rsidRPr="00C70A55">
        <w:rPr>
          <w:rFonts w:cstheme="minorHAnsi"/>
          <w:b/>
          <w:bCs/>
          <w:sz w:val="28"/>
          <w:szCs w:val="28"/>
          <w:u w:val="single"/>
        </w:rPr>
        <w:t>Updates</w:t>
      </w:r>
      <w:r w:rsidRPr="00C70A55">
        <w:rPr>
          <w:rFonts w:cstheme="minorHAnsi"/>
          <w:b/>
          <w:bCs/>
          <w:sz w:val="28"/>
          <w:szCs w:val="28"/>
          <w:u w:val="single"/>
        </w:rPr>
        <w:t xml:space="preserve"> (FY 202</w:t>
      </w:r>
      <w:r w:rsidR="003C711F" w:rsidRPr="00C70A55">
        <w:rPr>
          <w:rFonts w:cstheme="minorHAnsi"/>
          <w:b/>
          <w:bCs/>
          <w:sz w:val="28"/>
          <w:szCs w:val="28"/>
          <w:u w:val="single"/>
        </w:rPr>
        <w:t>3</w:t>
      </w:r>
      <w:r w:rsidRPr="00C70A55">
        <w:rPr>
          <w:rFonts w:cstheme="minorHAnsi"/>
          <w:b/>
          <w:bCs/>
          <w:sz w:val="28"/>
          <w:szCs w:val="28"/>
          <w:u w:val="single"/>
        </w:rPr>
        <w:t>)</w:t>
      </w:r>
    </w:p>
    <w:p w14:paraId="37D8DDF7" w14:textId="0DCE9164" w:rsidR="00F51D92" w:rsidRPr="00B42FC9" w:rsidRDefault="00C70A55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F51D92" w:rsidRPr="00B42FC9">
        <w:rPr>
          <w:rFonts w:asciiTheme="minorHAnsi" w:hAnsiTheme="minorHAnsi" w:cstheme="minorHAnsi"/>
          <w:b/>
          <w:sz w:val="22"/>
          <w:szCs w:val="22"/>
        </w:rPr>
        <w:t>A195</w:t>
      </w:r>
      <w:r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="00F51D92" w:rsidRPr="00B42FC9">
        <w:rPr>
          <w:rFonts w:asciiTheme="minorHAnsi" w:hAnsiTheme="minorHAnsi" w:cstheme="minorHAnsi"/>
          <w:sz w:val="22"/>
          <w:szCs w:val="22"/>
        </w:rPr>
        <w:t>To record the collection of revenue for non-revolving trust and special funds that were previously accrued.</w:t>
      </w:r>
    </w:p>
    <w:p w14:paraId="39773CEE" w14:textId="0E4717B3" w:rsidR="00F51D92" w:rsidRPr="00B42FC9" w:rsidRDefault="00F51D92" w:rsidP="00B42FC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Comment:</w:t>
      </w:r>
      <w:r w:rsidR="00B42FC9"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Pr="00B42FC9">
        <w:rPr>
          <w:rFonts w:asciiTheme="minorHAnsi" w:hAnsiTheme="minorHAnsi" w:cstheme="minorHAnsi"/>
          <w:sz w:val="22"/>
          <w:szCs w:val="22"/>
        </w:rPr>
        <w:t>See USSGL TC C422 or TC C418 for accrual entry, and USSGL TC A186 (if not accrued.) See TCs</w:t>
      </w:r>
      <w:r w:rsidR="00B42FC9"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Pr="00B42FC9">
        <w:rPr>
          <w:rFonts w:asciiTheme="minorHAnsi" w:hAnsiTheme="minorHAnsi" w:cstheme="minorHAnsi"/>
          <w:sz w:val="22"/>
          <w:szCs w:val="22"/>
        </w:rPr>
        <w:t>C454 and C458 for daily inflation or deflation of Treasury Inflation Protected Securities. Also post USSGL TC-A123 if authority was previously anticipated.</w:t>
      </w:r>
    </w:p>
    <w:p w14:paraId="2E6942F7" w14:textId="4EE60881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Proprietary Entry</w:t>
      </w:r>
    </w:p>
    <w:p w14:paraId="173AC2AB" w14:textId="69E11640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>Debit</w:t>
      </w:r>
      <w:r w:rsidRPr="00B42FC9">
        <w:rPr>
          <w:rFonts w:asciiTheme="minorHAnsi" w:hAnsiTheme="minorHAnsi" w:cstheme="minorHAnsi"/>
          <w:sz w:val="22"/>
          <w:szCs w:val="22"/>
        </w:rPr>
        <w:tab/>
        <w:t>101000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Fund Balance </w:t>
      </w:r>
      <w:proofErr w:type="gramStart"/>
      <w:r w:rsidRPr="00B42FC9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B42FC9">
        <w:rPr>
          <w:rFonts w:asciiTheme="minorHAnsi" w:hAnsiTheme="minorHAnsi" w:cstheme="minorHAnsi"/>
          <w:sz w:val="22"/>
          <w:szCs w:val="22"/>
        </w:rPr>
        <w:t xml:space="preserve"> Treasury</w:t>
      </w:r>
    </w:p>
    <w:p w14:paraId="444AD1CB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131000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Accounts Receivable</w:t>
      </w:r>
    </w:p>
    <w:p w14:paraId="055F3104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132000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Funded Employment Benefit Contributions Receivable</w:t>
      </w:r>
    </w:p>
    <w:p w14:paraId="2FE818E2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Not Otherwise Classified</w:t>
      </w:r>
    </w:p>
    <w:p w14:paraId="760F52F1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134100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Loans</w:t>
      </w:r>
    </w:p>
    <w:p w14:paraId="44EDD446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134200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Investments</w:t>
      </w:r>
    </w:p>
    <w:p w14:paraId="72F54A7B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134300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Taxes</w:t>
      </w:r>
    </w:p>
    <w:p w14:paraId="473754B5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  Credit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 xml:space="preserve">   134900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Interest Receivable on Uninvested Funds</w:t>
      </w:r>
    </w:p>
    <w:p w14:paraId="6A566A2D" w14:textId="77777777" w:rsidR="003B675E" w:rsidRPr="00B42FC9" w:rsidRDefault="003B675E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3D8A77A" w14:textId="05812E35" w:rsidR="00F51D92" w:rsidRPr="00B42FC9" w:rsidRDefault="00C70A55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F51D92" w:rsidRPr="00B42FC9">
        <w:rPr>
          <w:rFonts w:asciiTheme="minorHAnsi" w:hAnsiTheme="minorHAnsi" w:cstheme="minorHAnsi"/>
          <w:b/>
          <w:sz w:val="22"/>
          <w:szCs w:val="22"/>
        </w:rPr>
        <w:t>C109</w:t>
      </w:r>
      <w:r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="00F51D92" w:rsidRPr="00B42FC9">
        <w:rPr>
          <w:rFonts w:asciiTheme="minorHAnsi" w:hAnsiTheme="minorHAnsi" w:cstheme="minorHAnsi"/>
          <w:sz w:val="22"/>
          <w:szCs w:val="22"/>
        </w:rPr>
        <w:t>To record the receipt of previously anticipated collections.</w:t>
      </w:r>
    </w:p>
    <w:p w14:paraId="699DD33A" w14:textId="03F7C8DD" w:rsidR="00F51D92" w:rsidRPr="00B42FC9" w:rsidRDefault="00F51D92" w:rsidP="00B42FC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Comment:</w:t>
      </w:r>
      <w:r w:rsidR="00B42FC9"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Pr="00B42FC9">
        <w:rPr>
          <w:rFonts w:asciiTheme="minorHAnsi" w:hAnsiTheme="minorHAnsi" w:cstheme="minorHAnsi"/>
          <w:sz w:val="22"/>
          <w:szCs w:val="22"/>
        </w:rPr>
        <w:t>See USSGL TC-C108 for unidentified collections. Also post USSGL TC-A123 if authority was previously anticipated. See USSGL TCs-A710, A712, A714, and C186 for reimbursable agreement transactions. See USSGL TC-C156 for the collection of interest receivable from securities held by a nonfiduciary deposit fund. Fiduciary deposit funds would not record a budgetary entry. See TCs C453 and C457 for daily inflation or deflation of Treasury Inflation Protected Securities.</w:t>
      </w:r>
    </w:p>
    <w:p w14:paraId="63DB2D29" w14:textId="3F2B4005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Reference:</w:t>
      </w:r>
      <w:r w:rsidR="00B42FC9"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Pr="00B42FC9">
        <w:rPr>
          <w:rFonts w:asciiTheme="minorHAnsi" w:hAnsiTheme="minorHAnsi" w:cstheme="minorHAnsi"/>
          <w:sz w:val="22"/>
          <w:szCs w:val="22"/>
        </w:rPr>
        <w:t>USSGL implementation guidance; USSGL Budgetary Accounting Guide</w:t>
      </w:r>
    </w:p>
    <w:p w14:paraId="6A606691" w14:textId="7943CD4A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Proprietary Entry</w:t>
      </w:r>
    </w:p>
    <w:p w14:paraId="0F4BBF5E" w14:textId="3927890B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>Debit</w:t>
      </w:r>
      <w:r w:rsidRPr="00B42FC9">
        <w:rPr>
          <w:rFonts w:asciiTheme="minorHAnsi" w:hAnsiTheme="minorHAnsi" w:cstheme="minorHAnsi"/>
          <w:sz w:val="22"/>
          <w:szCs w:val="22"/>
        </w:rPr>
        <w:tab/>
        <w:t>101000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Fund Balance </w:t>
      </w:r>
      <w:proofErr w:type="gramStart"/>
      <w:r w:rsidRPr="00B42FC9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B42FC9">
        <w:rPr>
          <w:rFonts w:asciiTheme="minorHAnsi" w:hAnsiTheme="minorHAnsi" w:cstheme="minorHAnsi"/>
          <w:sz w:val="22"/>
          <w:szCs w:val="22"/>
        </w:rPr>
        <w:t xml:space="preserve"> Treasury</w:t>
      </w:r>
    </w:p>
    <w:p w14:paraId="67F921D5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131000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Accounts Receivable</w:t>
      </w:r>
    </w:p>
    <w:p w14:paraId="5B93DA6B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132000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Funded Employment Benefit Contributions Receivable</w:t>
      </w:r>
    </w:p>
    <w:p w14:paraId="522F263E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Not Otherwise Classified</w:t>
      </w:r>
    </w:p>
    <w:p w14:paraId="75DAFD86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134100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Loans</w:t>
      </w:r>
    </w:p>
    <w:p w14:paraId="6D3CF82F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134200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Investments</w:t>
      </w:r>
    </w:p>
    <w:p w14:paraId="570A22AD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134300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Taxes</w:t>
      </w:r>
    </w:p>
    <w:p w14:paraId="3AE12D93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Credit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 xml:space="preserve">   134900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Interest Receivable on Uninvested Funds</w:t>
      </w:r>
    </w:p>
    <w:p w14:paraId="16C523BB" w14:textId="2DE0F3CA" w:rsidR="00F51D92" w:rsidRPr="00B42FC9" w:rsidRDefault="00F51D92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57D27AB" w14:textId="1B68BDB7" w:rsidR="00F51D92" w:rsidRPr="00B42FC9" w:rsidRDefault="00C70A55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F51D92" w:rsidRPr="00B42FC9">
        <w:rPr>
          <w:rFonts w:asciiTheme="minorHAnsi" w:hAnsiTheme="minorHAnsi" w:cstheme="minorHAnsi"/>
          <w:b/>
          <w:sz w:val="22"/>
          <w:szCs w:val="22"/>
        </w:rPr>
        <w:t>C140</w:t>
      </w:r>
      <w:r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="00F51D92" w:rsidRPr="00B42FC9">
        <w:rPr>
          <w:rFonts w:asciiTheme="minorHAnsi" w:hAnsiTheme="minorHAnsi" w:cstheme="minorHAnsi"/>
          <w:sz w:val="22"/>
          <w:szCs w:val="22"/>
        </w:rPr>
        <w:t>To record the collection of receivables from federal sources.</w:t>
      </w:r>
    </w:p>
    <w:p w14:paraId="1D67A2DD" w14:textId="3CC139E5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Proprietary Entry</w:t>
      </w:r>
    </w:p>
    <w:p w14:paraId="2BDFC6A9" w14:textId="5BD6EA4B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>Debit</w:t>
      </w:r>
      <w:r w:rsidRPr="00B42FC9">
        <w:rPr>
          <w:rFonts w:asciiTheme="minorHAnsi" w:hAnsiTheme="minorHAnsi" w:cstheme="minorHAnsi"/>
          <w:sz w:val="22"/>
          <w:szCs w:val="22"/>
        </w:rPr>
        <w:tab/>
        <w:t>101000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Fund Balance </w:t>
      </w:r>
      <w:proofErr w:type="gramStart"/>
      <w:r w:rsidRPr="00B42FC9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B42FC9">
        <w:rPr>
          <w:rFonts w:asciiTheme="minorHAnsi" w:hAnsiTheme="minorHAnsi" w:cstheme="minorHAnsi"/>
          <w:sz w:val="22"/>
          <w:szCs w:val="22"/>
        </w:rPr>
        <w:t xml:space="preserve"> Treasury</w:t>
      </w:r>
    </w:p>
    <w:p w14:paraId="42D51B15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131000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Accounts Receivable</w:t>
      </w:r>
    </w:p>
    <w:p w14:paraId="047CDEBB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Not Otherwise Classified</w:t>
      </w:r>
    </w:p>
    <w:p w14:paraId="45796734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134100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Loans</w:t>
      </w:r>
    </w:p>
    <w:p w14:paraId="5D79035D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134200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Investments</w:t>
      </w:r>
    </w:p>
    <w:p w14:paraId="0682FFF3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134300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Taxes</w:t>
      </w:r>
    </w:p>
    <w:p w14:paraId="6AA1B5BD" w14:textId="77777777" w:rsidR="00F51D92" w:rsidRPr="00B42FC9" w:rsidRDefault="00F51D92" w:rsidP="0082627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Credit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 xml:space="preserve">   134900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Interest Receivable on Uninvested Funds</w:t>
      </w:r>
    </w:p>
    <w:p w14:paraId="29F5555D" w14:textId="2CD1947B" w:rsidR="00F51D92" w:rsidRPr="00B42FC9" w:rsidRDefault="00F51D92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58FC882" w14:textId="2FA5D50E" w:rsidR="00F51D92" w:rsidRPr="00B42FC9" w:rsidRDefault="00C70A55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4) </w:t>
      </w:r>
      <w:r w:rsidR="00F51D92" w:rsidRPr="00B42FC9">
        <w:rPr>
          <w:rFonts w:asciiTheme="minorHAnsi" w:hAnsiTheme="minorHAnsi" w:cstheme="minorHAnsi"/>
          <w:b/>
          <w:sz w:val="22"/>
          <w:szCs w:val="22"/>
        </w:rPr>
        <w:t>C146</w:t>
      </w:r>
      <w:r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="00F51D92" w:rsidRPr="00B42FC9">
        <w:rPr>
          <w:rFonts w:asciiTheme="minorHAnsi" w:hAnsiTheme="minorHAnsi" w:cstheme="minorHAnsi"/>
          <w:sz w:val="22"/>
          <w:szCs w:val="22"/>
        </w:rPr>
        <w:t>To record the collection of previously accrued receivables in a General Fund Receipt Account.</w:t>
      </w:r>
    </w:p>
    <w:p w14:paraId="180BDA74" w14:textId="29169087" w:rsidR="00F51D92" w:rsidRPr="00B42FC9" w:rsidRDefault="00F51D92" w:rsidP="00B42FC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Comment:</w:t>
      </w:r>
      <w:r w:rsidR="00B42FC9" w:rsidRPr="00B42FC9">
        <w:rPr>
          <w:rFonts w:asciiTheme="minorHAnsi" w:hAnsiTheme="minorHAnsi" w:cstheme="minorHAnsi"/>
          <w:sz w:val="22"/>
          <w:szCs w:val="22"/>
        </w:rPr>
        <w:t xml:space="preserve"> </w:t>
      </w:r>
      <w:r w:rsidRPr="00B42FC9">
        <w:rPr>
          <w:rFonts w:asciiTheme="minorHAnsi" w:hAnsiTheme="minorHAnsi" w:cstheme="minorHAnsi"/>
          <w:sz w:val="22"/>
          <w:szCs w:val="22"/>
        </w:rPr>
        <w:t>Also post D585. For collection of custodial receivables in a General Fund Receipt Account, see USSGL TC C-143.</w:t>
      </w:r>
    </w:p>
    <w:p w14:paraId="1968B742" w14:textId="5FF7AEC8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Proprietary Entry</w:t>
      </w:r>
    </w:p>
    <w:p w14:paraId="614B1419" w14:textId="3BF90A98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>Debit</w:t>
      </w:r>
      <w:r w:rsidRPr="00B42FC9">
        <w:rPr>
          <w:rFonts w:asciiTheme="minorHAnsi" w:hAnsiTheme="minorHAnsi" w:cstheme="minorHAnsi"/>
          <w:sz w:val="22"/>
          <w:szCs w:val="22"/>
        </w:rPr>
        <w:tab/>
        <w:t>101000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Fund Balance </w:t>
      </w:r>
      <w:proofErr w:type="gramStart"/>
      <w:r w:rsidRPr="00B42FC9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B42FC9">
        <w:rPr>
          <w:rFonts w:asciiTheme="minorHAnsi" w:hAnsiTheme="minorHAnsi" w:cstheme="minorHAnsi"/>
          <w:sz w:val="22"/>
          <w:szCs w:val="22"/>
        </w:rPr>
        <w:t xml:space="preserve"> Treasury</w:t>
      </w:r>
    </w:p>
    <w:p w14:paraId="184EFAF8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131000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Accounts Receivable</w:t>
      </w:r>
    </w:p>
    <w:p w14:paraId="28FEC78C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Not Otherwise Classified</w:t>
      </w:r>
    </w:p>
    <w:p w14:paraId="513A1C53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134100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Loans</w:t>
      </w:r>
    </w:p>
    <w:p w14:paraId="3D5D8D85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134200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Investments</w:t>
      </w:r>
    </w:p>
    <w:p w14:paraId="490AFA56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134300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- Taxes</w:t>
      </w:r>
    </w:p>
    <w:p w14:paraId="453298F9" w14:textId="77777777" w:rsidR="00F51D92" w:rsidRPr="00B42FC9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Credit</w:t>
      </w: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134400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 w:rsidRPr="00B42FC9">
        <w:rPr>
          <w:rFonts w:asciiTheme="minorHAnsi" w:hAnsiTheme="minorHAnsi" w:cstheme="minorHAnsi"/>
          <w:sz w:val="22"/>
          <w:szCs w:val="22"/>
        </w:rPr>
        <w:tab/>
        <w:t>Interest Receivable on Special Drawing Rights (SDR)</w:t>
      </w:r>
    </w:p>
    <w:p w14:paraId="4123593B" w14:textId="5D083D9A" w:rsidR="00F51D92" w:rsidRDefault="00F51D92" w:rsidP="00C70A5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Credit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 xml:space="preserve">   134900</w:t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B42F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Interest Receivable on Uninvested Funds</w:t>
      </w:r>
    </w:p>
    <w:p w14:paraId="20303342" w14:textId="742B3D8B" w:rsidR="00C839D7" w:rsidRDefault="00C839D7" w:rsidP="00C839D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4219EF25" w14:textId="7BE2E113" w:rsidR="00F51D92" w:rsidRPr="002949C4" w:rsidRDefault="00C839D7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39D7">
        <w:rPr>
          <w:rFonts w:asciiTheme="minorHAnsi" w:hAnsiTheme="minorHAnsi" w:cstheme="minorHAnsi"/>
          <w:b/>
          <w:sz w:val="22"/>
          <w:szCs w:val="22"/>
        </w:rPr>
        <w:t xml:space="preserve">5) C414 </w:t>
      </w:r>
      <w:r w:rsidRPr="00C839D7">
        <w:rPr>
          <w:rFonts w:asciiTheme="minorHAnsi" w:hAnsiTheme="minorHAnsi" w:cstheme="minorHAnsi"/>
          <w:bCs/>
          <w:sz w:val="22"/>
          <w:szCs w:val="22"/>
        </w:rPr>
        <w:t>To record refund receivables, a downward adjustment to prior-year paid delivered orders, from non-federal sources for assets or expenses that do not create budgetary resources until collected.</w:t>
      </w:r>
    </w:p>
    <w:p w14:paraId="704AD8E1" w14:textId="77777777" w:rsidR="002949C4" w:rsidRPr="00B42FC9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FC9">
        <w:rPr>
          <w:rFonts w:asciiTheme="minorHAnsi" w:hAnsiTheme="minorHAnsi" w:cstheme="minorHAnsi"/>
          <w:b/>
          <w:sz w:val="22"/>
          <w:szCs w:val="22"/>
        </w:rPr>
        <w:t>Proprietary Entry</w:t>
      </w:r>
    </w:p>
    <w:p w14:paraId="026F1E1D" w14:textId="0F58CA40" w:rsidR="002949C4" w:rsidRPr="00B42FC9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jc w:val="both"/>
        <w:rPr>
          <w:rFonts w:asciiTheme="minorHAnsi" w:hAnsiTheme="minorHAnsi" w:cstheme="minorHAnsi"/>
          <w:sz w:val="22"/>
          <w:szCs w:val="22"/>
        </w:rPr>
      </w:pPr>
      <w:r w:rsidRPr="00B42FC9">
        <w:rPr>
          <w:rFonts w:asciiTheme="minorHAnsi" w:hAnsiTheme="minorHAnsi" w:cstheme="minorHAnsi"/>
          <w:sz w:val="22"/>
          <w:szCs w:val="22"/>
        </w:rPr>
        <w:t>Debit</w:t>
      </w:r>
      <w:r w:rsidRPr="00B42FC9">
        <w:rPr>
          <w:rFonts w:asciiTheme="minorHAnsi" w:hAnsiTheme="minorHAnsi" w:cstheme="minorHAnsi"/>
          <w:sz w:val="22"/>
          <w:szCs w:val="22"/>
        </w:rPr>
        <w:tab/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2FC9">
        <w:rPr>
          <w:rFonts w:asciiTheme="minorHAnsi" w:hAnsiTheme="minorHAnsi" w:cstheme="minorHAnsi"/>
          <w:sz w:val="22"/>
          <w:szCs w:val="22"/>
        </w:rPr>
        <w:t>1000</w:t>
      </w:r>
      <w:r w:rsidRPr="00B42FC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Accounts Receivable</w:t>
      </w:r>
    </w:p>
    <w:p w14:paraId="23D3B242" w14:textId="5C53B63D" w:rsidR="002949C4" w:rsidRP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151100  Operating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Materials and Supplies Held for Use     </w:t>
      </w:r>
    </w:p>
    <w:p w14:paraId="0A51A34B" w14:textId="12833CD2" w:rsidR="002949C4" w:rsidRP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151200  Operating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Materials and Supplies Held in Reserve for Future Use     </w:t>
      </w:r>
    </w:p>
    <w:p w14:paraId="7DED6A3C" w14:textId="22E187E6" w:rsid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151600  Operating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Materials and Supplies in Development     </w:t>
      </w:r>
    </w:p>
    <w:p w14:paraId="412755BA" w14:textId="4CD9E8F9" w:rsidR="002949C4" w:rsidRP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152100 </w:t>
      </w: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2949C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Inventory</w:t>
      </w:r>
      <w:proofErr w:type="gramEnd"/>
      <w:r w:rsidRPr="002949C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Purchased for Resale</w:t>
      </w:r>
    </w:p>
    <w:p w14:paraId="743FBC89" w14:textId="3AEAB4FC" w:rsidR="002949C4" w:rsidRP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152200  Inventory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Held in Reserve for Future Sale     </w:t>
      </w:r>
    </w:p>
    <w:p w14:paraId="05AE86E6" w14:textId="592E0069" w:rsidR="002949C4" w:rsidRP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152500  Inventory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- Raw Materials     </w:t>
      </w:r>
    </w:p>
    <w:p w14:paraId="443FFCD0" w14:textId="54D2A651" w:rsidR="002949C4" w:rsidRP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152600  Inventory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- Work-in-Process     </w:t>
      </w:r>
    </w:p>
    <w:p w14:paraId="77E03B2B" w14:textId="3DB5A964" w:rsidR="002949C4" w:rsidRDefault="002949C4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949C4">
        <w:rPr>
          <w:rFonts w:asciiTheme="minorHAnsi" w:hAnsiTheme="minorHAnsi" w:cstheme="minorHAnsi"/>
          <w:sz w:val="22"/>
          <w:szCs w:val="22"/>
        </w:rPr>
        <w:t xml:space="preserve">Credit    </w:t>
      </w:r>
      <w:proofErr w:type="gramStart"/>
      <w:r w:rsidRPr="002949C4">
        <w:rPr>
          <w:rFonts w:asciiTheme="minorHAnsi" w:hAnsiTheme="minorHAnsi" w:cstheme="minorHAnsi"/>
          <w:sz w:val="22"/>
          <w:szCs w:val="22"/>
        </w:rPr>
        <w:t>152700  Inventory</w:t>
      </w:r>
      <w:proofErr w:type="gramEnd"/>
      <w:r w:rsidRPr="002949C4">
        <w:rPr>
          <w:rFonts w:asciiTheme="minorHAnsi" w:hAnsiTheme="minorHAnsi" w:cstheme="minorHAnsi"/>
          <w:sz w:val="22"/>
          <w:szCs w:val="22"/>
        </w:rPr>
        <w:t xml:space="preserve"> - Finished Goods</w:t>
      </w:r>
    </w:p>
    <w:p w14:paraId="7D30292E" w14:textId="3BA8D155" w:rsidR="000A0A31" w:rsidRDefault="000A0A31" w:rsidP="002949C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jc w:val="both"/>
        <w:rPr>
          <w:rFonts w:asciiTheme="minorHAnsi" w:hAnsiTheme="minorHAnsi" w:cstheme="minorHAnsi"/>
          <w:sz w:val="22"/>
          <w:szCs w:val="22"/>
        </w:rPr>
      </w:pPr>
    </w:p>
    <w:p w14:paraId="56737B06" w14:textId="20C61A81" w:rsidR="000A0A31" w:rsidRDefault="000A0A31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53">
        <w:rPr>
          <w:rFonts w:asciiTheme="minorHAnsi" w:hAnsiTheme="minorHAnsi" w:cstheme="minorHAnsi"/>
          <w:b/>
          <w:sz w:val="22"/>
          <w:szCs w:val="22"/>
        </w:rPr>
        <w:t>6)</w:t>
      </w:r>
      <w:r w:rsidR="00C14153" w:rsidRPr="00C14153">
        <w:rPr>
          <w:rFonts w:asciiTheme="minorHAnsi" w:hAnsiTheme="minorHAnsi" w:cstheme="minorHAnsi"/>
          <w:b/>
          <w:sz w:val="22"/>
          <w:szCs w:val="22"/>
        </w:rPr>
        <w:t xml:space="preserve"> C134 </w:t>
      </w:r>
      <w:r w:rsidR="00C14153" w:rsidRPr="00C14153">
        <w:rPr>
          <w:rFonts w:asciiTheme="minorHAnsi" w:hAnsiTheme="minorHAnsi" w:cstheme="minorHAnsi"/>
          <w:bCs/>
          <w:sz w:val="22"/>
          <w:szCs w:val="22"/>
        </w:rPr>
        <w:t>To record the refunds collected (not previously accrued as receivables) for assets purchased and expenses incurred in the current year.</w:t>
      </w:r>
    </w:p>
    <w:p w14:paraId="6AF3867A" w14:textId="1B7AD854" w:rsid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B91E2D" w14:textId="77777777" w:rsid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00B">
        <w:rPr>
          <w:rFonts w:asciiTheme="minorHAnsi" w:hAnsiTheme="minorHAnsi" w:cstheme="minorHAnsi"/>
          <w:b/>
          <w:sz w:val="22"/>
          <w:szCs w:val="22"/>
        </w:rPr>
        <w:t>Budgetary Entry</w:t>
      </w:r>
    </w:p>
    <w:p w14:paraId="3E31E1FC" w14:textId="3D84BCB3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00B">
        <w:rPr>
          <w:rFonts w:asciiTheme="minorHAnsi" w:hAnsiTheme="minorHAnsi" w:cstheme="minorHAnsi"/>
          <w:bCs/>
          <w:sz w:val="22"/>
          <w:szCs w:val="22"/>
        </w:rPr>
        <w:t xml:space="preserve">Debit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490200 Delivered Orders - Obligations, Paid     </w:t>
      </w:r>
    </w:p>
    <w:p w14:paraId="05C028E7" w14:textId="2847FD10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461000  Allotments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- Realized Resources     </w:t>
      </w:r>
    </w:p>
    <w:p w14:paraId="38CB5F9C" w14:textId="6CC42713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462000  Unobligated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Funds Exempt From Apportionment  </w:t>
      </w:r>
    </w:p>
    <w:p w14:paraId="72A27FB2" w14:textId="77777777" w:rsid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256FAE" w14:textId="77777777" w:rsid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1400B">
        <w:rPr>
          <w:rFonts w:asciiTheme="minorHAnsi" w:hAnsiTheme="minorHAnsi" w:cstheme="minorHAnsi"/>
          <w:b/>
          <w:sz w:val="22"/>
          <w:szCs w:val="22"/>
        </w:rPr>
        <w:t xml:space="preserve">Proprietary Entry  </w:t>
      </w:r>
    </w:p>
    <w:p w14:paraId="35C768CF" w14:textId="77777777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00B">
        <w:rPr>
          <w:rFonts w:asciiTheme="minorHAnsi" w:hAnsiTheme="minorHAnsi" w:cstheme="minorHAnsi"/>
          <w:bCs/>
          <w:sz w:val="22"/>
          <w:szCs w:val="22"/>
        </w:rPr>
        <w:t xml:space="preserve">Debit 101000 Fund Balance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With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Treasury     </w:t>
      </w:r>
    </w:p>
    <w:p w14:paraId="055FE898" w14:textId="383B0EC7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151100  Operating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Materials and Supplies Held for Use     </w:t>
      </w:r>
    </w:p>
    <w:p w14:paraId="5AD88B88" w14:textId="4CB2C4AE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151200  Operating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Materials and Supplies Held in Reserve for Future Use     </w:t>
      </w:r>
    </w:p>
    <w:p w14:paraId="472469CA" w14:textId="01301FA1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151600  Operating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Materials and Supplies in Development</w:t>
      </w:r>
    </w:p>
    <w:p w14:paraId="4E971D26" w14:textId="2E3A23DA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2F5496" w:themeColor="accent1" w:themeShade="BF"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color w:val="2F5496" w:themeColor="accent1" w:themeShade="BF"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color w:val="2F5496" w:themeColor="accent1" w:themeShade="BF"/>
          <w:sz w:val="22"/>
          <w:szCs w:val="22"/>
        </w:rPr>
        <w:t>152100  Inventory</w:t>
      </w:r>
      <w:proofErr w:type="gramEnd"/>
      <w:r w:rsidRPr="0041400B">
        <w:rPr>
          <w:rFonts w:asciiTheme="minorHAnsi" w:hAnsiTheme="minorHAnsi" w:cstheme="minorHAnsi"/>
          <w:bCs/>
          <w:color w:val="2F5496" w:themeColor="accent1" w:themeShade="BF"/>
          <w:sz w:val="22"/>
          <w:szCs w:val="22"/>
        </w:rPr>
        <w:t xml:space="preserve"> Purchased for Resale</w:t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B4CB89" w14:textId="077E3D2A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152200  Inventory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Held in Reserve for Future Sale    </w:t>
      </w:r>
    </w:p>
    <w:p w14:paraId="1A44445B" w14:textId="10FD2082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152500  Inventory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- Raw Materials     </w:t>
      </w:r>
    </w:p>
    <w:p w14:paraId="22C78774" w14:textId="59D4C573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152600  Inventory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- Work-in-Process     </w:t>
      </w:r>
    </w:p>
    <w:p w14:paraId="52C9D878" w14:textId="52A7A109" w:rsidR="0041400B" w:rsidRPr="0041400B" w:rsidRDefault="0041400B" w:rsidP="00C1415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1400B">
        <w:rPr>
          <w:rFonts w:asciiTheme="minorHAnsi" w:hAnsiTheme="minorHAnsi" w:cstheme="minorHAnsi"/>
          <w:bCs/>
          <w:sz w:val="22"/>
          <w:szCs w:val="22"/>
        </w:rPr>
        <w:t xml:space="preserve">Credit    </w:t>
      </w:r>
      <w:proofErr w:type="gramStart"/>
      <w:r w:rsidRPr="0041400B">
        <w:rPr>
          <w:rFonts w:asciiTheme="minorHAnsi" w:hAnsiTheme="minorHAnsi" w:cstheme="minorHAnsi"/>
          <w:bCs/>
          <w:sz w:val="22"/>
          <w:szCs w:val="22"/>
        </w:rPr>
        <w:t>152700  Inventory</w:t>
      </w:r>
      <w:proofErr w:type="gramEnd"/>
      <w:r w:rsidRPr="0041400B">
        <w:rPr>
          <w:rFonts w:asciiTheme="minorHAnsi" w:hAnsiTheme="minorHAnsi" w:cstheme="minorHAnsi"/>
          <w:bCs/>
          <w:sz w:val="22"/>
          <w:szCs w:val="22"/>
        </w:rPr>
        <w:t xml:space="preserve"> - Finished Goods</w:t>
      </w:r>
    </w:p>
    <w:p w14:paraId="733D47E2" w14:textId="77777777" w:rsidR="00B42FC9" w:rsidRDefault="00B42FC9" w:rsidP="0041400B">
      <w:pPr>
        <w:rPr>
          <w:rFonts w:cstheme="minorHAnsi"/>
          <w:b/>
          <w:bCs/>
          <w:sz w:val="28"/>
          <w:szCs w:val="28"/>
          <w:u w:val="single"/>
        </w:rPr>
      </w:pPr>
    </w:p>
    <w:p w14:paraId="6B7407FA" w14:textId="143FEB94" w:rsidR="00C70A55" w:rsidRPr="00C70A55" w:rsidRDefault="00C70A55" w:rsidP="00C70A5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70A55">
        <w:rPr>
          <w:rFonts w:cstheme="minorHAnsi"/>
          <w:b/>
          <w:bCs/>
          <w:sz w:val="28"/>
          <w:szCs w:val="28"/>
          <w:u w:val="single"/>
        </w:rPr>
        <w:lastRenderedPageBreak/>
        <w:t>Proprietary Transaction Code Additions (FY 2023)</w:t>
      </w:r>
    </w:p>
    <w:p w14:paraId="4AF1BADD" w14:textId="01C6DAB4" w:rsidR="00E90FAD" w:rsidRPr="00C70A55" w:rsidRDefault="00C70A55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1) </w:t>
      </w:r>
      <w:r w:rsidR="00BB25CF" w:rsidRPr="00C70A55">
        <w:rPr>
          <w:rFonts w:cstheme="minorHAnsi"/>
          <w:b/>
          <w:bCs/>
        </w:rPr>
        <w:t>C</w:t>
      </w:r>
      <w:r w:rsidR="00343BB0" w:rsidRPr="00C70A55">
        <w:rPr>
          <w:rFonts w:cstheme="minorHAnsi"/>
          <w:b/>
          <w:bCs/>
        </w:rPr>
        <w:t>169</w:t>
      </w:r>
      <w:r w:rsidR="00E90FAD" w:rsidRPr="00C70A55">
        <w:rPr>
          <w:rFonts w:cstheme="minorHAnsi"/>
        </w:rPr>
        <w:t xml:space="preserve"> </w:t>
      </w:r>
      <w:r w:rsidR="00C92C7F" w:rsidRPr="00C70A55">
        <w:rPr>
          <w:rFonts w:cstheme="minorHAnsi"/>
        </w:rPr>
        <w:t xml:space="preserve">To record </w:t>
      </w:r>
      <w:r w:rsidR="00B55DE8" w:rsidRPr="00C70A55">
        <w:rPr>
          <w:rFonts w:cstheme="minorHAnsi"/>
        </w:rPr>
        <w:t xml:space="preserve">cash deposited but not confirmed and cash deposits confirmed but not yet recorded </w:t>
      </w:r>
      <w:r w:rsidR="0061370D" w:rsidRPr="00C70A55">
        <w:rPr>
          <w:rFonts w:cstheme="minorHAnsi"/>
        </w:rPr>
        <w:t>to the</w:t>
      </w:r>
      <w:r w:rsidR="00B55DE8" w:rsidRPr="00C70A55">
        <w:rPr>
          <w:rFonts w:cstheme="minorHAnsi"/>
        </w:rPr>
        <w:t xml:space="preserve"> CARS</w:t>
      </w:r>
      <w:r w:rsidR="0061370D" w:rsidRPr="00C70A55">
        <w:rPr>
          <w:rFonts w:cstheme="minorHAnsi"/>
        </w:rPr>
        <w:t xml:space="preserve"> Account Statement</w:t>
      </w:r>
      <w:r w:rsidR="00B55DE8" w:rsidRPr="00C70A55">
        <w:rPr>
          <w:rFonts w:cstheme="minorHAnsi"/>
        </w:rPr>
        <w:t>, from cash point-of-sales in retail, commissary and/or other reimbursable activities</w:t>
      </w:r>
      <w:r w:rsidR="00865DC3" w:rsidRPr="00C70A55">
        <w:rPr>
          <w:rFonts w:cstheme="minorHAnsi"/>
        </w:rPr>
        <w:t xml:space="preserve"> from non-federal sources</w:t>
      </w:r>
      <w:r w:rsidR="00B55DE8" w:rsidRPr="00C70A55">
        <w:rPr>
          <w:rFonts w:cstheme="minorHAnsi"/>
        </w:rPr>
        <w:t>, along with</w:t>
      </w:r>
      <w:r w:rsidR="00C92C7F" w:rsidRPr="00C70A55">
        <w:rPr>
          <w:rFonts w:cstheme="minorHAnsi"/>
        </w:rPr>
        <w:t xml:space="preserve"> the associated revenue recognition</w:t>
      </w:r>
      <w:r w:rsidR="00B55DE8" w:rsidRPr="00C70A55">
        <w:rPr>
          <w:rFonts w:cstheme="minorHAnsi"/>
        </w:rPr>
        <w:t>.</w:t>
      </w:r>
    </w:p>
    <w:p w14:paraId="723AB0B2" w14:textId="77777777" w:rsidR="00C92C7F" w:rsidRPr="00C70A55" w:rsidRDefault="00C92C7F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24E5A2" w14:textId="04A77DF5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  <w:b/>
          <w:bCs/>
        </w:rPr>
        <w:t>Comment:</w:t>
      </w:r>
      <w:r w:rsidRPr="00C70A55">
        <w:rPr>
          <w:rFonts w:cstheme="minorHAnsi"/>
        </w:rPr>
        <w:t xml:space="preserve"> </w:t>
      </w:r>
      <w:r w:rsidR="00AE75F2" w:rsidRPr="00C70A55">
        <w:rPr>
          <w:rFonts w:cstheme="minorHAnsi"/>
        </w:rPr>
        <w:t xml:space="preserve">When the cash deposit is confirmed and recorded </w:t>
      </w:r>
      <w:r w:rsidR="0061370D" w:rsidRPr="00C70A55">
        <w:rPr>
          <w:rFonts w:cstheme="minorHAnsi"/>
        </w:rPr>
        <w:t>to the</w:t>
      </w:r>
      <w:r w:rsidR="00AE75F2" w:rsidRPr="00C70A55">
        <w:rPr>
          <w:rFonts w:cstheme="minorHAnsi"/>
        </w:rPr>
        <w:t xml:space="preserve"> CARS</w:t>
      </w:r>
      <w:r w:rsidR="0061370D" w:rsidRPr="00C70A55">
        <w:rPr>
          <w:rFonts w:cstheme="minorHAnsi"/>
        </w:rPr>
        <w:t xml:space="preserve"> Account Statement</w:t>
      </w:r>
      <w:r w:rsidR="00AE75F2" w:rsidRPr="00C70A55">
        <w:rPr>
          <w:rFonts w:cstheme="minorHAnsi"/>
        </w:rPr>
        <w:t xml:space="preserve">, post TC </w:t>
      </w:r>
      <w:r w:rsidR="009A1003" w:rsidRPr="00C70A55">
        <w:rPr>
          <w:rFonts w:cstheme="minorHAnsi"/>
        </w:rPr>
        <w:t xml:space="preserve">C171 to reclassify to </w:t>
      </w:r>
      <w:proofErr w:type="spellStart"/>
      <w:r w:rsidR="009A1003" w:rsidRPr="00C70A55">
        <w:rPr>
          <w:rFonts w:cstheme="minorHAnsi"/>
        </w:rPr>
        <w:t>FBwT</w:t>
      </w:r>
      <w:proofErr w:type="spellEnd"/>
      <w:r w:rsidR="00AE75F2" w:rsidRPr="00C70A55">
        <w:rPr>
          <w:rFonts w:cstheme="minorHAnsi"/>
        </w:rPr>
        <w:t>.</w:t>
      </w:r>
    </w:p>
    <w:p w14:paraId="59DF944A" w14:textId="77777777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0A8638" w14:textId="20EF1645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  <w:b/>
          <w:bCs/>
        </w:rPr>
        <w:t>Reference:</w:t>
      </w:r>
      <w:r w:rsidRPr="00C70A55">
        <w:rPr>
          <w:rFonts w:cstheme="minorHAnsi"/>
        </w:rPr>
        <w:t xml:space="preserve"> See </w:t>
      </w:r>
      <w:r w:rsidR="00AC44E3" w:rsidRPr="00C70A55">
        <w:rPr>
          <w:rFonts w:cstheme="minorHAnsi"/>
        </w:rPr>
        <w:t>OMB Circular No. A-136 for guidance on Undeposited Collections</w:t>
      </w:r>
      <w:r w:rsidR="002B301B" w:rsidRPr="00C70A55">
        <w:rPr>
          <w:rFonts w:cstheme="minorHAnsi"/>
        </w:rPr>
        <w:t>.  See</w:t>
      </w:r>
      <w:r w:rsidR="00AC44E3" w:rsidRPr="00C70A55">
        <w:rPr>
          <w:rFonts w:cstheme="minorHAnsi"/>
        </w:rPr>
        <w:t xml:space="preserve"> SFFAS 7, Par. 36</w:t>
      </w:r>
      <w:r w:rsidR="00E36D30" w:rsidRPr="00C70A55">
        <w:rPr>
          <w:rFonts w:cstheme="minorHAnsi"/>
        </w:rPr>
        <w:t>a &amp; 36c</w:t>
      </w:r>
      <w:r w:rsidR="00AC44E3" w:rsidRPr="00C70A55">
        <w:rPr>
          <w:rFonts w:cstheme="minorHAnsi"/>
        </w:rPr>
        <w:t xml:space="preserve"> for exchange revenue </w:t>
      </w:r>
      <w:r w:rsidR="00EF5105" w:rsidRPr="00C70A55">
        <w:rPr>
          <w:rFonts w:cstheme="minorHAnsi"/>
        </w:rPr>
        <w:t xml:space="preserve">recognition guidance </w:t>
      </w:r>
      <w:r w:rsidR="00906CC5" w:rsidRPr="00C70A55">
        <w:rPr>
          <w:rFonts w:cstheme="minorHAnsi"/>
        </w:rPr>
        <w:t>on</w:t>
      </w:r>
      <w:r w:rsidR="00AC44E3" w:rsidRPr="00C70A55">
        <w:rPr>
          <w:rFonts w:cstheme="minorHAnsi"/>
        </w:rPr>
        <w:t xml:space="preserve"> </w:t>
      </w:r>
      <w:r w:rsidR="001D2FAF" w:rsidRPr="00C70A55">
        <w:rPr>
          <w:rFonts w:cstheme="minorHAnsi"/>
        </w:rPr>
        <w:t>cash point-of-sale</w:t>
      </w:r>
      <w:r w:rsidR="00A87B86" w:rsidRPr="00C70A55">
        <w:rPr>
          <w:rFonts w:cstheme="minorHAnsi"/>
        </w:rPr>
        <w:t xml:space="preserve"> </w:t>
      </w:r>
      <w:r w:rsidR="00AC44E3" w:rsidRPr="00C70A55">
        <w:rPr>
          <w:rFonts w:cstheme="minorHAnsi"/>
        </w:rPr>
        <w:t>reimbursable activities.</w:t>
      </w:r>
    </w:p>
    <w:p w14:paraId="574028AB" w14:textId="77777777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4733A1" w14:textId="77777777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70A55">
        <w:rPr>
          <w:rFonts w:cstheme="minorHAnsi"/>
          <w:b/>
          <w:bCs/>
        </w:rPr>
        <w:t>Budgetary Entry</w:t>
      </w:r>
    </w:p>
    <w:p w14:paraId="29609F89" w14:textId="70D06D3C" w:rsidR="00E90FAD" w:rsidRPr="00C70A55" w:rsidRDefault="00BB25CF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>None</w:t>
      </w:r>
    </w:p>
    <w:p w14:paraId="24E1EB6D" w14:textId="77777777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8EA180" w14:textId="77777777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70A55">
        <w:rPr>
          <w:rFonts w:cstheme="minorHAnsi"/>
          <w:b/>
          <w:bCs/>
        </w:rPr>
        <w:t xml:space="preserve">Proprietary Entry </w:t>
      </w:r>
    </w:p>
    <w:p w14:paraId="08EB0812" w14:textId="5C147046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 xml:space="preserve">Debit </w:t>
      </w:r>
      <w:r w:rsidR="00BB25CF" w:rsidRPr="00C70A55">
        <w:rPr>
          <w:rFonts w:cstheme="minorHAnsi"/>
        </w:rPr>
        <w:t>1</w:t>
      </w:r>
      <w:r w:rsidRPr="00C70A55">
        <w:rPr>
          <w:rFonts w:cstheme="minorHAnsi"/>
        </w:rPr>
        <w:t xml:space="preserve">11000 </w:t>
      </w:r>
      <w:r w:rsidR="00BB25CF" w:rsidRPr="00C70A55">
        <w:rPr>
          <w:rFonts w:cstheme="minorHAnsi"/>
        </w:rPr>
        <w:t>Undeposited Collections</w:t>
      </w:r>
    </w:p>
    <w:p w14:paraId="586869C0" w14:textId="543D2069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 xml:space="preserve">     </w:t>
      </w:r>
      <w:r w:rsidR="00DD2FB4" w:rsidRPr="00C70A55">
        <w:rPr>
          <w:rFonts w:cstheme="minorHAnsi"/>
        </w:rPr>
        <w:tab/>
      </w:r>
      <w:r w:rsidRPr="00C70A55">
        <w:rPr>
          <w:rFonts w:cstheme="minorHAnsi"/>
        </w:rPr>
        <w:t xml:space="preserve">Credit </w:t>
      </w:r>
      <w:r w:rsidR="00C11201" w:rsidRPr="00C70A55">
        <w:rPr>
          <w:rFonts w:cstheme="minorHAnsi"/>
        </w:rPr>
        <w:t>510</w:t>
      </w:r>
      <w:r w:rsidRPr="00C70A55">
        <w:rPr>
          <w:rFonts w:cstheme="minorHAnsi"/>
        </w:rPr>
        <w:t xml:space="preserve">000 </w:t>
      </w:r>
      <w:r w:rsidR="00C11201" w:rsidRPr="00C70A55">
        <w:rPr>
          <w:rFonts w:cstheme="minorHAnsi"/>
        </w:rPr>
        <w:t>Revenue from Goods Sold</w:t>
      </w:r>
    </w:p>
    <w:p w14:paraId="6730F335" w14:textId="50D1A2E2" w:rsidR="00E90FAD" w:rsidRPr="00C70A55" w:rsidRDefault="00DD2FB4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ab/>
        <w:t>Credit 5</w:t>
      </w:r>
      <w:r w:rsidR="004B131E" w:rsidRPr="00C70A55">
        <w:rPr>
          <w:rFonts w:cstheme="minorHAnsi"/>
        </w:rPr>
        <w:t>2</w:t>
      </w:r>
      <w:r w:rsidRPr="00C70A55">
        <w:rPr>
          <w:rFonts w:cstheme="minorHAnsi"/>
        </w:rPr>
        <w:t xml:space="preserve">0000 Revenue from </w:t>
      </w:r>
      <w:r w:rsidR="004B131E" w:rsidRPr="00C70A55">
        <w:rPr>
          <w:rFonts w:cstheme="minorHAnsi"/>
        </w:rPr>
        <w:t>Services Provided</w:t>
      </w:r>
    </w:p>
    <w:p w14:paraId="229721EE" w14:textId="4A4D388E" w:rsidR="00E90FAD" w:rsidRPr="00C70A55" w:rsidRDefault="00DD2FB4" w:rsidP="00C70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C70A55">
        <w:rPr>
          <w:rFonts w:cstheme="minorHAnsi"/>
        </w:rPr>
        <w:t>Credit 5</w:t>
      </w:r>
      <w:r w:rsidR="004B131E" w:rsidRPr="00C70A55">
        <w:rPr>
          <w:rFonts w:cstheme="minorHAnsi"/>
        </w:rPr>
        <w:t>9</w:t>
      </w:r>
      <w:r w:rsidRPr="00C70A55">
        <w:rPr>
          <w:rFonts w:cstheme="minorHAnsi"/>
        </w:rPr>
        <w:t xml:space="preserve">0000 </w:t>
      </w:r>
      <w:r w:rsidR="004B131E" w:rsidRPr="00C70A55">
        <w:rPr>
          <w:rFonts w:cstheme="minorHAnsi"/>
        </w:rPr>
        <w:t xml:space="preserve">Other </w:t>
      </w:r>
      <w:r w:rsidRPr="00C70A55">
        <w:rPr>
          <w:rFonts w:cstheme="minorHAnsi"/>
        </w:rPr>
        <w:t>Revenue</w:t>
      </w:r>
    </w:p>
    <w:p w14:paraId="4BDF9618" w14:textId="5B8DEE4F" w:rsidR="00DD2FB4" w:rsidRPr="00C70A55" w:rsidRDefault="00DD2FB4" w:rsidP="00C70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14:paraId="1ACE4063" w14:textId="77777777" w:rsidR="00DD2FB4" w:rsidRPr="00C70A55" w:rsidRDefault="00DD2FB4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A294F5" w14:textId="026B27E5" w:rsidR="007673FB" w:rsidRPr="00C70A55" w:rsidRDefault="00C70A55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2) </w:t>
      </w:r>
      <w:r w:rsidR="00261747" w:rsidRPr="00C70A55">
        <w:rPr>
          <w:rFonts w:cstheme="minorHAnsi"/>
          <w:b/>
          <w:bCs/>
        </w:rPr>
        <w:t>C</w:t>
      </w:r>
      <w:r w:rsidR="00ED26B7" w:rsidRPr="00C70A55">
        <w:rPr>
          <w:rFonts w:cstheme="minorHAnsi"/>
          <w:b/>
          <w:bCs/>
        </w:rPr>
        <w:t>171</w:t>
      </w:r>
      <w:r w:rsidR="00E90FAD" w:rsidRPr="00C70A55">
        <w:rPr>
          <w:rFonts w:cstheme="minorHAnsi"/>
        </w:rPr>
        <w:t xml:space="preserve"> </w:t>
      </w:r>
      <w:r w:rsidR="00261747" w:rsidRPr="00C70A55">
        <w:rPr>
          <w:rFonts w:cstheme="minorHAnsi"/>
        </w:rPr>
        <w:t xml:space="preserve">To record </w:t>
      </w:r>
      <w:r w:rsidR="008A0952" w:rsidRPr="00C70A55">
        <w:rPr>
          <w:rFonts w:cstheme="minorHAnsi"/>
        </w:rPr>
        <w:t xml:space="preserve">cash </w:t>
      </w:r>
      <w:r w:rsidR="00261747" w:rsidRPr="00C70A55">
        <w:rPr>
          <w:rFonts w:cstheme="minorHAnsi"/>
        </w:rPr>
        <w:t>deposits from point-of-sale</w:t>
      </w:r>
      <w:r w:rsidR="008A0952" w:rsidRPr="00C70A55">
        <w:rPr>
          <w:rFonts w:cstheme="minorHAnsi"/>
        </w:rPr>
        <w:t xml:space="preserve"> activities</w:t>
      </w:r>
      <w:r w:rsidR="00261747" w:rsidRPr="00C70A55">
        <w:rPr>
          <w:rFonts w:cstheme="minorHAnsi"/>
        </w:rPr>
        <w:t xml:space="preserve"> once the</w:t>
      </w:r>
      <w:r w:rsidR="008A0952" w:rsidRPr="00C70A55">
        <w:rPr>
          <w:rFonts w:cstheme="minorHAnsi"/>
        </w:rPr>
        <w:t xml:space="preserve"> deposits</w:t>
      </w:r>
      <w:r w:rsidR="00261747" w:rsidRPr="00C70A55">
        <w:rPr>
          <w:rFonts w:cstheme="minorHAnsi"/>
        </w:rPr>
        <w:t xml:space="preserve"> are </w:t>
      </w:r>
      <w:r w:rsidR="008A0952" w:rsidRPr="00C70A55">
        <w:rPr>
          <w:rFonts w:cstheme="minorHAnsi"/>
        </w:rPr>
        <w:t xml:space="preserve">both confirmed and </w:t>
      </w:r>
      <w:r w:rsidR="00261747" w:rsidRPr="00C70A55">
        <w:rPr>
          <w:rFonts w:cstheme="minorHAnsi"/>
        </w:rPr>
        <w:t xml:space="preserve">recorded in an entity’s CARS </w:t>
      </w:r>
      <w:r w:rsidR="00DD6FAB" w:rsidRPr="00C70A55">
        <w:rPr>
          <w:rFonts w:cstheme="minorHAnsi"/>
        </w:rPr>
        <w:t xml:space="preserve">Account Statement </w:t>
      </w:r>
      <w:r w:rsidR="00261747" w:rsidRPr="00C70A55">
        <w:rPr>
          <w:rFonts w:cstheme="minorHAnsi"/>
        </w:rPr>
        <w:t>balance.</w:t>
      </w:r>
    </w:p>
    <w:p w14:paraId="11901DE5" w14:textId="77777777" w:rsidR="00261747" w:rsidRPr="00C70A55" w:rsidRDefault="00261747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1A5AEF" w14:textId="7BF8AF2D" w:rsidR="007673FB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  <w:b/>
          <w:bCs/>
        </w:rPr>
        <w:t>Comment:</w:t>
      </w:r>
      <w:r w:rsidRPr="00C70A55">
        <w:rPr>
          <w:rFonts w:cstheme="minorHAnsi"/>
        </w:rPr>
        <w:t xml:space="preserve"> </w:t>
      </w:r>
      <w:r w:rsidR="00CE6A65" w:rsidRPr="00C70A55">
        <w:rPr>
          <w:rFonts w:cstheme="minorHAnsi"/>
        </w:rPr>
        <w:t>Also post TCs A120 &amp; A123 if previously anticipated, or TC A702 if not previously anticipated.</w:t>
      </w:r>
      <w:r w:rsidR="00C4296E" w:rsidRPr="00C70A55">
        <w:rPr>
          <w:rFonts w:cstheme="minorHAnsi"/>
        </w:rPr>
        <w:t xml:space="preserve"> </w:t>
      </w:r>
      <w:r w:rsidR="00CE6A65" w:rsidRPr="00C70A55">
        <w:rPr>
          <w:rFonts w:cstheme="minorHAnsi"/>
        </w:rPr>
        <w:t xml:space="preserve">If cash deposit is not yet confirmed or not yet recorded </w:t>
      </w:r>
      <w:r w:rsidR="00383A13" w:rsidRPr="00C70A55">
        <w:rPr>
          <w:rFonts w:cstheme="minorHAnsi"/>
        </w:rPr>
        <w:t>to the</w:t>
      </w:r>
      <w:r w:rsidR="00CE6A65" w:rsidRPr="00C70A55">
        <w:rPr>
          <w:rFonts w:cstheme="minorHAnsi"/>
        </w:rPr>
        <w:t xml:space="preserve"> CARS</w:t>
      </w:r>
      <w:r w:rsidR="00383A13" w:rsidRPr="00C70A55">
        <w:rPr>
          <w:rFonts w:cstheme="minorHAnsi"/>
        </w:rPr>
        <w:t xml:space="preserve"> Account Statement</w:t>
      </w:r>
      <w:r w:rsidR="00CE6A65" w:rsidRPr="00C70A55">
        <w:rPr>
          <w:rFonts w:cstheme="minorHAnsi"/>
        </w:rPr>
        <w:t>, first record TC C</w:t>
      </w:r>
      <w:r w:rsidR="00A43F75" w:rsidRPr="00C70A55">
        <w:rPr>
          <w:rFonts w:cstheme="minorHAnsi"/>
        </w:rPr>
        <w:t>169.</w:t>
      </w:r>
    </w:p>
    <w:p w14:paraId="352EA711" w14:textId="77777777" w:rsidR="007673FB" w:rsidRPr="00C70A55" w:rsidRDefault="007673FB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FE22F0" w14:textId="77777777" w:rsidR="007673FB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70A55">
        <w:rPr>
          <w:rFonts w:cstheme="minorHAnsi"/>
          <w:b/>
          <w:bCs/>
        </w:rPr>
        <w:t xml:space="preserve">Budgetary Entry </w:t>
      </w:r>
    </w:p>
    <w:p w14:paraId="7714FD90" w14:textId="36B013E9" w:rsidR="007673FB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 xml:space="preserve">Debit </w:t>
      </w:r>
      <w:r w:rsidR="00DE504A" w:rsidRPr="00C70A55">
        <w:rPr>
          <w:rFonts w:cstheme="minorHAnsi"/>
        </w:rPr>
        <w:t>425200</w:t>
      </w:r>
      <w:r w:rsidRPr="00C70A55">
        <w:rPr>
          <w:rFonts w:cstheme="minorHAnsi"/>
        </w:rPr>
        <w:t xml:space="preserve"> </w:t>
      </w:r>
      <w:r w:rsidR="00DE504A" w:rsidRPr="00C70A55">
        <w:rPr>
          <w:rFonts w:cstheme="minorHAnsi"/>
        </w:rPr>
        <w:t xml:space="preserve">Reimbursements Earned – Collected </w:t>
      </w:r>
      <w:proofErr w:type="gramStart"/>
      <w:r w:rsidR="00DE504A" w:rsidRPr="00C70A55">
        <w:rPr>
          <w:rFonts w:cstheme="minorHAnsi"/>
        </w:rPr>
        <w:t>From</w:t>
      </w:r>
      <w:proofErr w:type="gramEnd"/>
      <w:r w:rsidR="00DE504A" w:rsidRPr="00C70A55">
        <w:rPr>
          <w:rFonts w:cstheme="minorHAnsi"/>
        </w:rPr>
        <w:t xml:space="preserve"> Federal/Non-Federal Exception Sources</w:t>
      </w:r>
    </w:p>
    <w:p w14:paraId="1BF8B47A" w14:textId="589DE0D4" w:rsidR="00DE504A" w:rsidRPr="00C70A55" w:rsidRDefault="00DE504A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 xml:space="preserve">Debit 425400 Reimbursements Earned – Collected </w:t>
      </w:r>
      <w:proofErr w:type="gramStart"/>
      <w:r w:rsidRPr="00C70A55">
        <w:rPr>
          <w:rFonts w:cstheme="minorHAnsi"/>
        </w:rPr>
        <w:t>From</w:t>
      </w:r>
      <w:proofErr w:type="gramEnd"/>
      <w:r w:rsidRPr="00C70A55">
        <w:rPr>
          <w:rFonts w:cstheme="minorHAnsi"/>
        </w:rPr>
        <w:t xml:space="preserve"> Non-Federal Sources</w:t>
      </w:r>
    </w:p>
    <w:p w14:paraId="55FF5FDC" w14:textId="6779BB76" w:rsidR="007673FB" w:rsidRPr="00C70A55" w:rsidRDefault="00E90FAD" w:rsidP="00C70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C70A55">
        <w:rPr>
          <w:rFonts w:cstheme="minorHAnsi"/>
        </w:rPr>
        <w:t xml:space="preserve">Credit </w:t>
      </w:r>
      <w:r w:rsidR="00DE504A" w:rsidRPr="00C70A55">
        <w:rPr>
          <w:rFonts w:cstheme="minorHAnsi"/>
        </w:rPr>
        <w:t>421000</w:t>
      </w:r>
      <w:r w:rsidRPr="00C70A55">
        <w:rPr>
          <w:rFonts w:cstheme="minorHAnsi"/>
        </w:rPr>
        <w:t xml:space="preserve"> </w:t>
      </w:r>
      <w:r w:rsidR="00DE504A" w:rsidRPr="00C70A55">
        <w:rPr>
          <w:rFonts w:cstheme="minorHAnsi"/>
        </w:rPr>
        <w:t>Anticipated Reimbursements</w:t>
      </w:r>
    </w:p>
    <w:p w14:paraId="3B116521" w14:textId="77777777" w:rsidR="007673FB" w:rsidRPr="00C70A55" w:rsidRDefault="007673FB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C57C4C" w14:textId="77777777" w:rsidR="007673FB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70A55">
        <w:rPr>
          <w:rFonts w:cstheme="minorHAnsi"/>
          <w:b/>
          <w:bCs/>
        </w:rPr>
        <w:t xml:space="preserve">Proprietary Entry </w:t>
      </w:r>
    </w:p>
    <w:p w14:paraId="06E3C05A" w14:textId="135D7FD6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>Debit</w:t>
      </w:r>
      <w:r w:rsidR="00381CE8" w:rsidRPr="00C70A55">
        <w:rPr>
          <w:rFonts w:cstheme="minorHAnsi"/>
        </w:rPr>
        <w:t xml:space="preserve"> </w:t>
      </w:r>
      <w:r w:rsidRPr="00C70A55">
        <w:rPr>
          <w:rFonts w:cstheme="minorHAnsi"/>
        </w:rPr>
        <w:t xml:space="preserve">101000 Fund Balance </w:t>
      </w:r>
      <w:proofErr w:type="gramStart"/>
      <w:r w:rsidRPr="00C70A55">
        <w:rPr>
          <w:rFonts w:cstheme="minorHAnsi"/>
        </w:rPr>
        <w:t>With</w:t>
      </w:r>
      <w:proofErr w:type="gramEnd"/>
      <w:r w:rsidRPr="00C70A55">
        <w:rPr>
          <w:rFonts w:cstheme="minorHAnsi"/>
        </w:rPr>
        <w:t xml:space="preserve"> Treasury</w:t>
      </w:r>
    </w:p>
    <w:p w14:paraId="04FDE5F9" w14:textId="091B184F" w:rsidR="00381CE8" w:rsidRPr="00C70A55" w:rsidRDefault="00381CE8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0A55">
        <w:rPr>
          <w:rFonts w:cstheme="minorHAnsi"/>
        </w:rPr>
        <w:tab/>
        <w:t>Credit 111000 Undeposited Collections</w:t>
      </w:r>
    </w:p>
    <w:p w14:paraId="7FAC9C55" w14:textId="2BC58A8B" w:rsidR="00E90FAD" w:rsidRPr="00C70A55" w:rsidRDefault="00E90FAD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F3BCE34" w14:textId="45F45DBD" w:rsidR="006F6AB0" w:rsidRPr="00C70A55" w:rsidRDefault="006F6AB0" w:rsidP="00C70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6F6AB0" w:rsidRPr="00C70A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7265975E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>IRC Handout 02/15/2023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A0A31"/>
    <w:rsid w:val="000C10C6"/>
    <w:rsid w:val="001D2FAF"/>
    <w:rsid w:val="00261747"/>
    <w:rsid w:val="002949C4"/>
    <w:rsid w:val="002B00EE"/>
    <w:rsid w:val="002B301B"/>
    <w:rsid w:val="00343BB0"/>
    <w:rsid w:val="00381CE8"/>
    <w:rsid w:val="00383A13"/>
    <w:rsid w:val="003A759C"/>
    <w:rsid w:val="003B675E"/>
    <w:rsid w:val="003C711F"/>
    <w:rsid w:val="003E7E5B"/>
    <w:rsid w:val="0041400B"/>
    <w:rsid w:val="004B131E"/>
    <w:rsid w:val="00522642"/>
    <w:rsid w:val="0061370D"/>
    <w:rsid w:val="006F6AB0"/>
    <w:rsid w:val="00745D48"/>
    <w:rsid w:val="007673FB"/>
    <w:rsid w:val="007F337A"/>
    <w:rsid w:val="00800998"/>
    <w:rsid w:val="0081279B"/>
    <w:rsid w:val="0082627A"/>
    <w:rsid w:val="00865DC3"/>
    <w:rsid w:val="008A0952"/>
    <w:rsid w:val="008A33F8"/>
    <w:rsid w:val="00906CC5"/>
    <w:rsid w:val="009333AA"/>
    <w:rsid w:val="009A1003"/>
    <w:rsid w:val="00A43F75"/>
    <w:rsid w:val="00A87B86"/>
    <w:rsid w:val="00A90A83"/>
    <w:rsid w:val="00AC44E3"/>
    <w:rsid w:val="00AE75F2"/>
    <w:rsid w:val="00B42FC9"/>
    <w:rsid w:val="00B55DE8"/>
    <w:rsid w:val="00BA7024"/>
    <w:rsid w:val="00BB25CF"/>
    <w:rsid w:val="00BC7F64"/>
    <w:rsid w:val="00C11201"/>
    <w:rsid w:val="00C14153"/>
    <w:rsid w:val="00C4296E"/>
    <w:rsid w:val="00C70A55"/>
    <w:rsid w:val="00C839D7"/>
    <w:rsid w:val="00C92C7F"/>
    <w:rsid w:val="00CD29FA"/>
    <w:rsid w:val="00CE6A65"/>
    <w:rsid w:val="00D33FDC"/>
    <w:rsid w:val="00D368F8"/>
    <w:rsid w:val="00DD2FB4"/>
    <w:rsid w:val="00DD6FAB"/>
    <w:rsid w:val="00DE504A"/>
    <w:rsid w:val="00E36D30"/>
    <w:rsid w:val="00E90FAD"/>
    <w:rsid w:val="00ED26B7"/>
    <w:rsid w:val="00EF5105"/>
    <w:rsid w:val="00F51D9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Elizabeth W. Burke</cp:lastModifiedBy>
  <cp:revision>2</cp:revision>
  <dcterms:created xsi:type="dcterms:W3CDTF">2023-02-13T20:35:00Z</dcterms:created>
  <dcterms:modified xsi:type="dcterms:W3CDTF">2023-02-13T20:35:00Z</dcterms:modified>
</cp:coreProperties>
</file>