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1DE0" w14:textId="41269E9C" w:rsidR="002E64A0" w:rsidRDefault="002E64A0" w:rsidP="005D5200">
      <w:pPr>
        <w:tabs>
          <w:tab w:val="left" w:pos="1679"/>
        </w:tabs>
        <w:spacing w:before="90"/>
        <w:rPr>
          <w:rFonts w:ascii="Tahoma"/>
          <w:sz w:val="15"/>
        </w:rPr>
      </w:pPr>
    </w:p>
    <w:p w14:paraId="474D2717" w14:textId="77777777" w:rsidR="002E64A0" w:rsidRDefault="004E3559">
      <w:pPr>
        <w:pStyle w:val="BodyText"/>
        <w:spacing w:before="1"/>
        <w:rPr>
          <w:rFonts w:ascii="Tahoma"/>
          <w:sz w:val="9"/>
        </w:rPr>
      </w:pPr>
      <w:r>
        <w:pict w14:anchorId="3E50140A">
          <v:group id="_x0000_s1026" style="position:absolute;margin-left:78pt;margin-top:7.5pt;width:457.5pt;height:1.5pt;z-index:-251658240;mso-wrap-distance-left:0;mso-wrap-distance-right:0;mso-position-horizontal-relative:page" coordorigin="1560,150" coordsize="9150,30">
            <v:line id="_x0000_s1031" style="position:absolute" from="1560,165" to="10710,165" strokecolor="#818181" strokeweight="1.5pt"/>
            <v:line id="_x0000_s1030" style="position:absolute" from="1560,157" to="10710,157" strokecolor="#818181"/>
            <v:line id="_x0000_s1029" style="position:absolute" from="1560,172" to="10710,172" strokecolor="#818181"/>
            <v:shape id="_x0000_s1028" style="position:absolute;left:1560;top:149;width:15;height:30" coordorigin="1560,150" coordsize="15,30" path="m1560,150r,30l1575,165r-15,-15xe" fillcolor="#818181" stroked="f">
              <v:path arrowok="t"/>
            </v:shape>
            <v:shape id="_x0000_s1027" style="position:absolute;left:10695;top:149;width:15;height:30" coordorigin="10695,150" coordsize="15,30" path="m10710,150r-15,15l10710,180r,-30xe" fillcolor="#818181" stroked="f">
              <v:path arrowok="t"/>
            </v:shape>
            <w10:wrap type="topAndBottom" anchorx="page"/>
          </v:group>
        </w:pict>
      </w:r>
    </w:p>
    <w:p w14:paraId="75E17BFD" w14:textId="77777777" w:rsidR="002E64A0" w:rsidRDefault="002E64A0">
      <w:pPr>
        <w:pStyle w:val="BodyText"/>
        <w:rPr>
          <w:rFonts w:ascii="Tahoma"/>
          <w:sz w:val="18"/>
        </w:rPr>
      </w:pPr>
    </w:p>
    <w:p w14:paraId="665E828F" w14:textId="77777777" w:rsidR="002E64A0" w:rsidRDefault="002E64A0">
      <w:pPr>
        <w:pStyle w:val="BodyText"/>
        <w:rPr>
          <w:rFonts w:ascii="Tahoma"/>
          <w:sz w:val="18"/>
        </w:rPr>
      </w:pPr>
    </w:p>
    <w:p w14:paraId="52C38648" w14:textId="77777777" w:rsidR="002E64A0" w:rsidRDefault="002E64A0">
      <w:pPr>
        <w:pStyle w:val="BodyText"/>
        <w:rPr>
          <w:rFonts w:ascii="Tahoma"/>
          <w:sz w:val="18"/>
        </w:rPr>
      </w:pPr>
    </w:p>
    <w:p w14:paraId="32036C4C" w14:textId="77777777" w:rsidR="002E64A0" w:rsidRDefault="002E64A0">
      <w:pPr>
        <w:pStyle w:val="BodyText"/>
        <w:rPr>
          <w:rFonts w:ascii="Tahoma"/>
          <w:sz w:val="18"/>
        </w:rPr>
      </w:pPr>
    </w:p>
    <w:p w14:paraId="485E67EA" w14:textId="77777777" w:rsidR="002E64A0" w:rsidRDefault="002E64A0">
      <w:pPr>
        <w:pStyle w:val="BodyText"/>
        <w:spacing w:before="2"/>
        <w:rPr>
          <w:rFonts w:ascii="Tahoma"/>
          <w:sz w:val="14"/>
        </w:rPr>
      </w:pPr>
    </w:p>
    <w:p w14:paraId="68C560B6" w14:textId="77777777" w:rsidR="002E64A0" w:rsidRDefault="004E3559">
      <w:pPr>
        <w:pStyle w:val="Heading1"/>
        <w:ind w:left="1721"/>
        <w:rPr>
          <w:u w:val="none"/>
        </w:rPr>
      </w:pPr>
      <w:hyperlink>
        <w:r w:rsidR="005D5200">
          <w:rPr>
            <w:color w:val="0563C1"/>
            <w:u w:color="0563C1"/>
          </w:rPr>
          <w:t>Reporting that may cause errors in MAX A-11</w:t>
        </w:r>
      </w:hyperlink>
    </w:p>
    <w:p w14:paraId="771C04C0" w14:textId="77777777" w:rsidR="002E64A0" w:rsidRDefault="002E64A0">
      <w:pPr>
        <w:pStyle w:val="BodyText"/>
        <w:rPr>
          <w:rFonts w:ascii="Calibri"/>
          <w:b/>
          <w:sz w:val="20"/>
        </w:rPr>
      </w:pPr>
    </w:p>
    <w:p w14:paraId="08EF2367" w14:textId="77777777" w:rsidR="002E64A0" w:rsidRDefault="002E64A0">
      <w:pPr>
        <w:pStyle w:val="BodyText"/>
        <w:spacing w:before="4"/>
        <w:rPr>
          <w:rFonts w:ascii="Calibri"/>
          <w:b/>
          <w:sz w:val="27"/>
        </w:rPr>
      </w:pPr>
    </w:p>
    <w:p w14:paraId="592DDE63" w14:textId="77777777" w:rsidR="002E64A0" w:rsidRDefault="005D5200">
      <w:pPr>
        <w:pStyle w:val="BodyText"/>
        <w:spacing w:before="59" w:line="268" w:lineRule="auto"/>
        <w:ind w:left="119" w:right="279"/>
      </w:pPr>
      <w:r>
        <w:t xml:space="preserve">As many of you know, OMB has a report on its budget community website that identifies OMB’s Budget MAX A-11 database (DE) errors that were not identified or resolved (- If a GTAS edit was overridden, this report will identify the approved GTAS override request.) through the GTAS  reporting windows and may cause errors in MAX A-11 DE. This report can be found at </w:t>
      </w:r>
      <w:hyperlink r:id="rId6">
        <w:r>
          <w:rPr>
            <w:color w:val="0563C1"/>
            <w:u w:val="single" w:color="0563C1"/>
          </w:rPr>
          <w:t>https://community.max.gov/x/vwmiI</w:t>
        </w:r>
        <w:r>
          <w:rPr>
            <w:color w:val="0563C1"/>
          </w:rPr>
          <w:t xml:space="preserve"> </w:t>
        </w:r>
      </w:hyperlink>
      <w:r>
        <w:t>. Like in previous years, OMB expects agencies to monitor this report throughout the fiscal year and to resolve any outstanding issues before the Period 12 GTAS reporting</w:t>
      </w:r>
      <w:r>
        <w:rPr>
          <w:spacing w:val="1"/>
        </w:rPr>
        <w:t xml:space="preserve"> </w:t>
      </w:r>
      <w:r>
        <w:t>window.</w:t>
      </w:r>
    </w:p>
    <w:p w14:paraId="4FB9701A" w14:textId="77777777" w:rsidR="002E64A0" w:rsidRDefault="002E64A0">
      <w:pPr>
        <w:pStyle w:val="BodyText"/>
        <w:spacing w:before="2"/>
        <w:rPr>
          <w:sz w:val="24"/>
        </w:rPr>
      </w:pPr>
    </w:p>
    <w:p w14:paraId="180E841E" w14:textId="77777777" w:rsidR="002E64A0" w:rsidRDefault="005D5200">
      <w:pPr>
        <w:pStyle w:val="BodyText"/>
        <w:spacing w:line="268" w:lineRule="auto"/>
        <w:ind w:left="119" w:right="279"/>
      </w:pPr>
      <w:r>
        <w:t>This year, OMB is highlighting an issue that was previously identified to agencies during November and December 2020. On the FY 2020-12 report (including revisions), the following OMB comments were added to the report:</w:t>
      </w:r>
    </w:p>
    <w:p w14:paraId="7FEF313C" w14:textId="77777777" w:rsidR="002E64A0" w:rsidRDefault="005D5200">
      <w:pPr>
        <w:spacing w:line="268" w:lineRule="auto"/>
        <w:ind w:left="296" w:right="251"/>
        <w:jc w:val="center"/>
        <w:rPr>
          <w:i/>
        </w:rPr>
      </w:pPr>
      <w:r>
        <w:rPr>
          <w:i/>
        </w:rPr>
        <w:t xml:space="preserve">While OMB suppressed this PY GTAS-related error in its MAX A-11 DE PB2022 exercise, agencies </w:t>
      </w:r>
      <w:r>
        <w:rPr>
          <w:i/>
          <w:spacing w:val="-4"/>
        </w:rPr>
        <w:t xml:space="preserve">will </w:t>
      </w:r>
      <w:r>
        <w:rPr>
          <w:i/>
        </w:rPr>
        <w:t>be required to resolve any GTAS reporting</w:t>
      </w:r>
      <w:r>
        <w:rPr>
          <w:i/>
          <w:spacing w:val="19"/>
        </w:rPr>
        <w:t xml:space="preserve"> </w:t>
      </w:r>
      <w:r>
        <w:rPr>
          <w:i/>
        </w:rPr>
        <w:t>issues</w:t>
      </w:r>
    </w:p>
    <w:p w14:paraId="1640CFCC" w14:textId="77777777" w:rsidR="002E64A0" w:rsidRDefault="005D5200">
      <w:pPr>
        <w:spacing w:line="268" w:lineRule="auto"/>
        <w:ind w:left="294" w:right="251"/>
        <w:jc w:val="center"/>
        <w:rPr>
          <w:i/>
        </w:rPr>
      </w:pPr>
      <w:r>
        <w:rPr>
          <w:i/>
        </w:rPr>
        <w:t>no later than FY 2021-06 GTAS reporting window. At that time, there will be a fatal GTAS edits addressing abnormal balances for memo lines 5311 thru 5344.</w:t>
      </w:r>
    </w:p>
    <w:p w14:paraId="4F708878" w14:textId="77777777" w:rsidR="002E64A0" w:rsidRDefault="002E64A0">
      <w:pPr>
        <w:pStyle w:val="BodyText"/>
        <w:spacing w:before="1"/>
        <w:rPr>
          <w:i/>
          <w:sz w:val="24"/>
        </w:rPr>
      </w:pPr>
    </w:p>
    <w:p w14:paraId="2B3048C0" w14:textId="77777777" w:rsidR="002E64A0" w:rsidRDefault="005D5200">
      <w:pPr>
        <w:pStyle w:val="BodyText"/>
        <w:spacing w:line="268" w:lineRule="auto"/>
        <w:ind w:left="119" w:right="415"/>
        <w:jc w:val="both"/>
      </w:pPr>
      <w:r>
        <w:t>While OMB previously communicated this information via the comments in the report, OMB also directly communicated this information to your budget counterparts during the same timeframe. However, at this time, the following comments will be added to the first quarter report:</w:t>
      </w:r>
    </w:p>
    <w:p w14:paraId="7663A977" w14:textId="77777777" w:rsidR="002E64A0" w:rsidRDefault="002E64A0">
      <w:pPr>
        <w:pStyle w:val="BodyText"/>
        <w:spacing w:before="4"/>
        <w:rPr>
          <w:sz w:val="24"/>
        </w:rPr>
      </w:pPr>
    </w:p>
    <w:p w14:paraId="68693184" w14:textId="77777777" w:rsidR="002E64A0" w:rsidRDefault="005D5200">
      <w:pPr>
        <w:spacing w:line="268" w:lineRule="auto"/>
        <w:ind w:left="296" w:right="251"/>
        <w:jc w:val="center"/>
        <w:rPr>
          <w:i/>
        </w:rPr>
      </w:pPr>
      <w:r>
        <w:rPr>
          <w:i/>
        </w:rPr>
        <w:t xml:space="preserve">While OMB suppressed this PY GTAS-related error in its MAX A-11 DE PB2022 exercise, agencies </w:t>
      </w:r>
      <w:r>
        <w:rPr>
          <w:i/>
          <w:spacing w:val="-4"/>
        </w:rPr>
        <w:t xml:space="preserve">will </w:t>
      </w:r>
      <w:r>
        <w:rPr>
          <w:i/>
        </w:rPr>
        <w:t>be required to resolve any GTAS reporting</w:t>
      </w:r>
      <w:r>
        <w:rPr>
          <w:i/>
          <w:spacing w:val="19"/>
        </w:rPr>
        <w:t xml:space="preserve"> </w:t>
      </w:r>
      <w:r>
        <w:rPr>
          <w:i/>
        </w:rPr>
        <w:t>issues</w:t>
      </w:r>
    </w:p>
    <w:p w14:paraId="269D7563" w14:textId="77777777" w:rsidR="002E64A0" w:rsidRDefault="005D5200">
      <w:pPr>
        <w:spacing w:line="268" w:lineRule="auto"/>
        <w:ind w:left="296" w:right="250"/>
        <w:jc w:val="center"/>
        <w:rPr>
          <w:i/>
        </w:rPr>
      </w:pPr>
      <w:r>
        <w:rPr>
          <w:i/>
        </w:rPr>
        <w:t>no later than FY 2021-08 GTAS reporting window (Note – OMB extended the deadline by two GTAS reporting windows). At that time, there will be a fatal GTAS edits</w:t>
      </w:r>
    </w:p>
    <w:p w14:paraId="01AD280B" w14:textId="77777777" w:rsidR="002E64A0" w:rsidRDefault="005D5200">
      <w:pPr>
        <w:spacing w:line="267" w:lineRule="exact"/>
        <w:ind w:left="1865"/>
        <w:rPr>
          <w:i/>
        </w:rPr>
      </w:pPr>
      <w:r>
        <w:rPr>
          <w:i/>
        </w:rPr>
        <w:t>addressing abnormal balances for memo lines 5311 thru 5344.</w:t>
      </w:r>
    </w:p>
    <w:p w14:paraId="6AE5CFA3" w14:textId="77777777" w:rsidR="002E64A0" w:rsidRDefault="002E64A0">
      <w:pPr>
        <w:pStyle w:val="BodyText"/>
        <w:rPr>
          <w:i/>
          <w:sz w:val="27"/>
        </w:rPr>
      </w:pPr>
    </w:p>
    <w:p w14:paraId="0D5B8F6A" w14:textId="77777777" w:rsidR="002E64A0" w:rsidRDefault="005D5200">
      <w:pPr>
        <w:pStyle w:val="BodyText"/>
        <w:spacing w:line="268" w:lineRule="auto"/>
        <w:ind w:left="119"/>
      </w:pPr>
      <w:r>
        <w:t>OMB is again highlighting this issue because of the importance of these memo lines reflecting the appropriate normal balances. This means that OMB will work with its Fiscal Service counterparts to implement GTAS edits in the FY 2021-09 GTAS reporting window to verify that the amounts on the following memo lines are positive amounts where appropriate:</w:t>
      </w:r>
    </w:p>
    <w:p w14:paraId="0C998EFB" w14:textId="77777777" w:rsidR="002E64A0" w:rsidRDefault="002E64A0">
      <w:pPr>
        <w:pStyle w:val="BodyText"/>
        <w:spacing w:before="5"/>
        <w:rPr>
          <w:sz w:val="24"/>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0"/>
        <w:gridCol w:w="7155"/>
      </w:tblGrid>
      <w:tr w:rsidR="002E64A0" w14:paraId="47BED8D1" w14:textId="77777777">
        <w:trPr>
          <w:trHeight w:val="295"/>
        </w:trPr>
        <w:tc>
          <w:tcPr>
            <w:tcW w:w="1530" w:type="dxa"/>
            <w:shd w:val="clear" w:color="auto" w:fill="C1C1C1"/>
          </w:tcPr>
          <w:p w14:paraId="7A0EF2DF" w14:textId="77777777" w:rsidR="002E64A0" w:rsidRDefault="005D5200">
            <w:pPr>
              <w:pStyle w:val="TableParagraph"/>
              <w:spacing w:line="265" w:lineRule="exact"/>
              <w:ind w:left="554" w:right="540"/>
              <w:jc w:val="center"/>
              <w:rPr>
                <w:rFonts w:ascii="Calibri"/>
                <w:b/>
              </w:rPr>
            </w:pPr>
            <w:r>
              <w:rPr>
                <w:rFonts w:ascii="Calibri"/>
                <w:b/>
              </w:rPr>
              <w:t>Line</w:t>
            </w:r>
          </w:p>
        </w:tc>
        <w:tc>
          <w:tcPr>
            <w:tcW w:w="7155" w:type="dxa"/>
            <w:shd w:val="clear" w:color="auto" w:fill="C1C1C1"/>
          </w:tcPr>
          <w:p w14:paraId="2A883DFD" w14:textId="77777777" w:rsidR="002E64A0" w:rsidRDefault="005D5200">
            <w:pPr>
              <w:pStyle w:val="TableParagraph"/>
              <w:spacing w:line="265" w:lineRule="exact"/>
              <w:ind w:left="2818" w:right="2805"/>
              <w:jc w:val="center"/>
              <w:rPr>
                <w:rFonts w:ascii="Calibri"/>
                <w:b/>
              </w:rPr>
            </w:pPr>
            <w:r>
              <w:rPr>
                <w:rFonts w:ascii="Calibri"/>
                <w:b/>
              </w:rPr>
              <w:t>Line Description</w:t>
            </w:r>
          </w:p>
        </w:tc>
      </w:tr>
      <w:tr w:rsidR="002E64A0" w14:paraId="1957EF3E" w14:textId="77777777">
        <w:trPr>
          <w:trHeight w:val="597"/>
        </w:trPr>
        <w:tc>
          <w:tcPr>
            <w:tcW w:w="1530" w:type="dxa"/>
            <w:tcBorders>
              <w:left w:val="single" w:sz="8" w:space="0" w:color="D0D7E5"/>
              <w:bottom w:val="single" w:sz="6" w:space="0" w:color="D0D7E5"/>
              <w:right w:val="single" w:sz="8" w:space="0" w:color="D0D7E5"/>
            </w:tcBorders>
          </w:tcPr>
          <w:p w14:paraId="7F90B5D2" w14:textId="77777777" w:rsidR="002E64A0" w:rsidRDefault="005D5200">
            <w:pPr>
              <w:pStyle w:val="TableParagraph"/>
              <w:spacing w:line="265" w:lineRule="exact"/>
              <w:ind w:left="34"/>
            </w:pPr>
            <w:r>
              <w:t>5311</w:t>
            </w:r>
          </w:p>
        </w:tc>
        <w:tc>
          <w:tcPr>
            <w:tcW w:w="7155" w:type="dxa"/>
            <w:tcBorders>
              <w:left w:val="single" w:sz="8" w:space="0" w:color="D0D7E5"/>
              <w:bottom w:val="single" w:sz="6" w:space="0" w:color="D0D7E5"/>
              <w:right w:val="single" w:sz="8" w:space="0" w:color="D0D7E5"/>
            </w:tcBorders>
          </w:tcPr>
          <w:p w14:paraId="6D9C28B4" w14:textId="77777777" w:rsidR="002E64A0" w:rsidRDefault="005D5200">
            <w:pPr>
              <w:pStyle w:val="TableParagraph"/>
              <w:spacing w:line="265" w:lineRule="exact"/>
              <w:ind w:left="34"/>
            </w:pPr>
            <w:r>
              <w:t>Direct unobligated balance, start of</w:t>
            </w:r>
          </w:p>
          <w:p w14:paraId="1AD2857E" w14:textId="77777777" w:rsidR="002E64A0" w:rsidRDefault="005D5200">
            <w:pPr>
              <w:pStyle w:val="TableParagraph"/>
              <w:spacing w:before="31" w:line="240" w:lineRule="auto"/>
              <w:ind w:left="34"/>
            </w:pPr>
            <w:r>
              <w:t>year</w:t>
            </w:r>
          </w:p>
        </w:tc>
      </w:tr>
      <w:tr w:rsidR="002E64A0" w14:paraId="534C532E" w14:textId="77777777">
        <w:trPr>
          <w:trHeight w:val="210"/>
        </w:trPr>
        <w:tc>
          <w:tcPr>
            <w:tcW w:w="1530" w:type="dxa"/>
            <w:tcBorders>
              <w:top w:val="single" w:sz="6" w:space="0" w:color="D0D7E5"/>
              <w:left w:val="single" w:sz="8" w:space="0" w:color="D0D7E5"/>
              <w:bottom w:val="nil"/>
              <w:right w:val="single" w:sz="8" w:space="0" w:color="D0D7E5"/>
            </w:tcBorders>
          </w:tcPr>
          <w:p w14:paraId="5D81E767" w14:textId="77777777" w:rsidR="002E64A0" w:rsidRDefault="002E64A0">
            <w:pPr>
              <w:pStyle w:val="TableParagraph"/>
              <w:spacing w:line="240" w:lineRule="auto"/>
              <w:ind w:left="0"/>
              <w:rPr>
                <w:rFonts w:ascii="Times New Roman"/>
                <w:sz w:val="14"/>
              </w:rPr>
            </w:pPr>
          </w:p>
        </w:tc>
        <w:tc>
          <w:tcPr>
            <w:tcW w:w="7155" w:type="dxa"/>
            <w:tcBorders>
              <w:top w:val="single" w:sz="6" w:space="0" w:color="D0D7E5"/>
              <w:left w:val="single" w:sz="8" w:space="0" w:color="D0D7E5"/>
              <w:bottom w:val="nil"/>
              <w:right w:val="single" w:sz="8" w:space="0" w:color="D0D7E5"/>
            </w:tcBorders>
          </w:tcPr>
          <w:p w14:paraId="5B973801" w14:textId="77777777" w:rsidR="002E64A0" w:rsidRDefault="002E64A0">
            <w:pPr>
              <w:pStyle w:val="TableParagraph"/>
              <w:spacing w:line="240" w:lineRule="auto"/>
              <w:ind w:left="0"/>
              <w:rPr>
                <w:rFonts w:ascii="Times New Roman"/>
                <w:sz w:val="14"/>
              </w:rPr>
            </w:pPr>
          </w:p>
        </w:tc>
      </w:tr>
    </w:tbl>
    <w:p w14:paraId="321FFD3A" w14:textId="77777777" w:rsidR="002E64A0" w:rsidRDefault="002E64A0">
      <w:pPr>
        <w:rPr>
          <w:rFonts w:ascii="Times New Roman"/>
          <w:sz w:val="14"/>
        </w:rPr>
        <w:sectPr w:rsidR="002E64A0">
          <w:footerReference w:type="default" r:id="rId7"/>
          <w:type w:val="continuous"/>
          <w:pgSz w:w="12240" w:h="15840"/>
          <w:pgMar w:top="1140" w:right="1480" w:bottom="280" w:left="1440" w:header="720" w:footer="720" w:gutter="0"/>
          <w:cols w:space="720"/>
        </w:sectPr>
      </w:pPr>
    </w:p>
    <w:tbl>
      <w:tblPr>
        <w:tblW w:w="0" w:type="auto"/>
        <w:tblInd w:w="350" w:type="dxa"/>
        <w:tblBorders>
          <w:top w:val="single" w:sz="8" w:space="0" w:color="D0D7E5"/>
          <w:left w:val="single" w:sz="8" w:space="0" w:color="D0D7E5"/>
          <w:bottom w:val="single" w:sz="8" w:space="0" w:color="D0D7E5"/>
          <w:right w:val="single" w:sz="8" w:space="0" w:color="D0D7E5"/>
          <w:insideH w:val="single" w:sz="8" w:space="0" w:color="D0D7E5"/>
          <w:insideV w:val="single" w:sz="8" w:space="0" w:color="D0D7E5"/>
        </w:tblBorders>
        <w:tblLayout w:type="fixed"/>
        <w:tblCellMar>
          <w:left w:w="0" w:type="dxa"/>
          <w:right w:w="0" w:type="dxa"/>
        </w:tblCellMar>
        <w:tblLook w:val="01E0" w:firstRow="1" w:lastRow="1" w:firstColumn="1" w:lastColumn="1" w:noHBand="0" w:noVBand="0"/>
      </w:tblPr>
      <w:tblGrid>
        <w:gridCol w:w="1530"/>
        <w:gridCol w:w="7155"/>
      </w:tblGrid>
      <w:tr w:rsidR="002E64A0" w14:paraId="40644A6A" w14:textId="77777777">
        <w:trPr>
          <w:trHeight w:val="597"/>
        </w:trPr>
        <w:tc>
          <w:tcPr>
            <w:tcW w:w="1530" w:type="dxa"/>
            <w:tcBorders>
              <w:top w:val="nil"/>
            </w:tcBorders>
          </w:tcPr>
          <w:p w14:paraId="10427B08" w14:textId="77777777" w:rsidR="002E64A0" w:rsidRDefault="005D5200">
            <w:pPr>
              <w:pStyle w:val="TableParagraph"/>
              <w:spacing w:line="262" w:lineRule="exact"/>
            </w:pPr>
            <w:r>
              <w:lastRenderedPageBreak/>
              <w:t>5312</w:t>
            </w:r>
          </w:p>
        </w:tc>
        <w:tc>
          <w:tcPr>
            <w:tcW w:w="7155" w:type="dxa"/>
            <w:tcBorders>
              <w:top w:val="nil"/>
            </w:tcBorders>
          </w:tcPr>
          <w:p w14:paraId="61769707" w14:textId="77777777" w:rsidR="002E64A0" w:rsidRDefault="005D5200">
            <w:pPr>
              <w:pStyle w:val="TableParagraph"/>
              <w:spacing w:line="262" w:lineRule="exact"/>
            </w:pPr>
            <w:r>
              <w:t>Reimbursable unobligated balance, start of</w:t>
            </w:r>
          </w:p>
          <w:p w14:paraId="1D8CDF6E" w14:textId="77777777" w:rsidR="002E64A0" w:rsidRDefault="005D5200">
            <w:pPr>
              <w:pStyle w:val="TableParagraph"/>
              <w:spacing w:before="31" w:line="240" w:lineRule="auto"/>
            </w:pPr>
            <w:r>
              <w:t>year</w:t>
            </w:r>
          </w:p>
        </w:tc>
      </w:tr>
      <w:tr w:rsidR="002E64A0" w14:paraId="5179C237" w14:textId="77777777">
        <w:trPr>
          <w:trHeight w:val="597"/>
        </w:trPr>
        <w:tc>
          <w:tcPr>
            <w:tcW w:w="1530" w:type="dxa"/>
            <w:tcBorders>
              <w:bottom w:val="single" w:sz="6" w:space="0" w:color="D0D7E5"/>
            </w:tcBorders>
          </w:tcPr>
          <w:p w14:paraId="62879AF9" w14:textId="77777777" w:rsidR="002E64A0" w:rsidRDefault="005D5200">
            <w:pPr>
              <w:pStyle w:val="TableParagraph"/>
              <w:spacing w:line="259" w:lineRule="exact"/>
            </w:pPr>
            <w:r>
              <w:t>5313</w:t>
            </w:r>
          </w:p>
        </w:tc>
        <w:tc>
          <w:tcPr>
            <w:tcW w:w="7155" w:type="dxa"/>
            <w:tcBorders>
              <w:bottom w:val="single" w:sz="6" w:space="0" w:color="D0D7E5"/>
            </w:tcBorders>
          </w:tcPr>
          <w:p w14:paraId="075133D4" w14:textId="77777777" w:rsidR="002E64A0" w:rsidRDefault="005D5200">
            <w:pPr>
              <w:pStyle w:val="TableParagraph"/>
              <w:spacing w:line="259" w:lineRule="exact"/>
            </w:pPr>
            <w:r>
              <w:t>Discretionary unobligated balance, start of</w:t>
            </w:r>
          </w:p>
          <w:p w14:paraId="513DF8AC" w14:textId="77777777" w:rsidR="002E64A0" w:rsidRDefault="005D5200">
            <w:pPr>
              <w:pStyle w:val="TableParagraph"/>
              <w:spacing w:before="31" w:line="240" w:lineRule="auto"/>
            </w:pPr>
            <w:r>
              <w:t>year</w:t>
            </w:r>
          </w:p>
        </w:tc>
      </w:tr>
      <w:tr w:rsidR="002E64A0" w14:paraId="04AC3C2C" w14:textId="77777777">
        <w:trPr>
          <w:trHeight w:val="600"/>
        </w:trPr>
        <w:tc>
          <w:tcPr>
            <w:tcW w:w="1530" w:type="dxa"/>
            <w:tcBorders>
              <w:top w:val="single" w:sz="6" w:space="0" w:color="D0D7E5"/>
              <w:bottom w:val="single" w:sz="6" w:space="0" w:color="D0D7E5"/>
            </w:tcBorders>
          </w:tcPr>
          <w:p w14:paraId="471C88C1" w14:textId="77777777" w:rsidR="002E64A0" w:rsidRDefault="005D5200">
            <w:pPr>
              <w:pStyle w:val="TableParagraph"/>
            </w:pPr>
            <w:r>
              <w:t>5314</w:t>
            </w:r>
          </w:p>
        </w:tc>
        <w:tc>
          <w:tcPr>
            <w:tcW w:w="7155" w:type="dxa"/>
            <w:tcBorders>
              <w:top w:val="single" w:sz="6" w:space="0" w:color="D0D7E5"/>
              <w:bottom w:val="single" w:sz="6" w:space="0" w:color="D0D7E5"/>
            </w:tcBorders>
          </w:tcPr>
          <w:p w14:paraId="2CB7269C" w14:textId="77777777" w:rsidR="002E64A0" w:rsidRDefault="005D5200">
            <w:pPr>
              <w:pStyle w:val="TableParagraph"/>
            </w:pPr>
            <w:r>
              <w:t>Mandatory unobligated balance, start of</w:t>
            </w:r>
          </w:p>
          <w:p w14:paraId="095107FD" w14:textId="77777777" w:rsidR="002E64A0" w:rsidRDefault="005D5200">
            <w:pPr>
              <w:pStyle w:val="TableParagraph"/>
              <w:spacing w:before="31" w:line="240" w:lineRule="auto"/>
            </w:pPr>
            <w:r>
              <w:t>year</w:t>
            </w:r>
          </w:p>
        </w:tc>
      </w:tr>
      <w:tr w:rsidR="002E64A0" w14:paraId="10DF35F1" w14:textId="77777777">
        <w:trPr>
          <w:trHeight w:val="597"/>
        </w:trPr>
        <w:tc>
          <w:tcPr>
            <w:tcW w:w="1530" w:type="dxa"/>
            <w:tcBorders>
              <w:top w:val="single" w:sz="6" w:space="0" w:color="D0D7E5"/>
            </w:tcBorders>
          </w:tcPr>
          <w:p w14:paraId="5E8D0D7E" w14:textId="77777777" w:rsidR="002E64A0" w:rsidRDefault="005D5200">
            <w:pPr>
              <w:pStyle w:val="TableParagraph"/>
            </w:pPr>
            <w:r>
              <w:t>5321</w:t>
            </w:r>
          </w:p>
        </w:tc>
        <w:tc>
          <w:tcPr>
            <w:tcW w:w="7155" w:type="dxa"/>
            <w:tcBorders>
              <w:top w:val="single" w:sz="6" w:space="0" w:color="D0D7E5"/>
            </w:tcBorders>
          </w:tcPr>
          <w:p w14:paraId="644B8CBD" w14:textId="77777777" w:rsidR="002E64A0" w:rsidRDefault="005D5200">
            <w:pPr>
              <w:pStyle w:val="TableParagraph"/>
            </w:pPr>
            <w:r>
              <w:t>Direct unobligated balance, end of</w:t>
            </w:r>
          </w:p>
          <w:p w14:paraId="41631310" w14:textId="77777777" w:rsidR="002E64A0" w:rsidRDefault="005D5200">
            <w:pPr>
              <w:pStyle w:val="TableParagraph"/>
              <w:spacing w:before="31" w:line="240" w:lineRule="auto"/>
            </w:pPr>
            <w:r>
              <w:t>year</w:t>
            </w:r>
          </w:p>
        </w:tc>
      </w:tr>
      <w:tr w:rsidR="002E64A0" w14:paraId="479BAD50" w14:textId="77777777">
        <w:trPr>
          <w:trHeight w:val="597"/>
        </w:trPr>
        <w:tc>
          <w:tcPr>
            <w:tcW w:w="1530" w:type="dxa"/>
            <w:tcBorders>
              <w:bottom w:val="single" w:sz="6" w:space="0" w:color="D0D7E5"/>
            </w:tcBorders>
          </w:tcPr>
          <w:p w14:paraId="5E250BF5" w14:textId="77777777" w:rsidR="002E64A0" w:rsidRDefault="005D5200">
            <w:pPr>
              <w:pStyle w:val="TableParagraph"/>
              <w:spacing w:line="259" w:lineRule="exact"/>
            </w:pPr>
            <w:r>
              <w:t>5322</w:t>
            </w:r>
          </w:p>
        </w:tc>
        <w:tc>
          <w:tcPr>
            <w:tcW w:w="7155" w:type="dxa"/>
            <w:tcBorders>
              <w:bottom w:val="single" w:sz="6" w:space="0" w:color="D0D7E5"/>
            </w:tcBorders>
          </w:tcPr>
          <w:p w14:paraId="4E4892B1" w14:textId="77777777" w:rsidR="002E64A0" w:rsidRDefault="005D5200">
            <w:pPr>
              <w:pStyle w:val="TableParagraph"/>
              <w:spacing w:line="259" w:lineRule="exact"/>
            </w:pPr>
            <w:r>
              <w:t>Reimbursable unobligated balance, end of</w:t>
            </w:r>
          </w:p>
          <w:p w14:paraId="51305E3A" w14:textId="77777777" w:rsidR="002E64A0" w:rsidRDefault="005D5200">
            <w:pPr>
              <w:pStyle w:val="TableParagraph"/>
              <w:spacing w:before="31" w:line="240" w:lineRule="auto"/>
            </w:pPr>
            <w:r>
              <w:t>year</w:t>
            </w:r>
          </w:p>
        </w:tc>
      </w:tr>
      <w:tr w:rsidR="002E64A0" w14:paraId="7C29AE6A" w14:textId="77777777">
        <w:trPr>
          <w:trHeight w:val="600"/>
        </w:trPr>
        <w:tc>
          <w:tcPr>
            <w:tcW w:w="1530" w:type="dxa"/>
            <w:tcBorders>
              <w:top w:val="single" w:sz="6" w:space="0" w:color="D0D7E5"/>
              <w:bottom w:val="single" w:sz="6" w:space="0" w:color="D0D7E5"/>
            </w:tcBorders>
          </w:tcPr>
          <w:p w14:paraId="3A54B286" w14:textId="77777777" w:rsidR="002E64A0" w:rsidRDefault="005D5200">
            <w:pPr>
              <w:pStyle w:val="TableParagraph"/>
            </w:pPr>
            <w:r>
              <w:t>5323</w:t>
            </w:r>
          </w:p>
        </w:tc>
        <w:tc>
          <w:tcPr>
            <w:tcW w:w="7155" w:type="dxa"/>
            <w:tcBorders>
              <w:top w:val="single" w:sz="6" w:space="0" w:color="D0D7E5"/>
              <w:bottom w:val="single" w:sz="6" w:space="0" w:color="D0D7E5"/>
            </w:tcBorders>
          </w:tcPr>
          <w:p w14:paraId="5E519E10" w14:textId="77777777" w:rsidR="002E64A0" w:rsidRDefault="005D5200">
            <w:pPr>
              <w:pStyle w:val="TableParagraph"/>
            </w:pPr>
            <w:r>
              <w:t>Discretionary unobligated balance, end of year</w:t>
            </w:r>
          </w:p>
        </w:tc>
      </w:tr>
      <w:tr w:rsidR="002E64A0" w14:paraId="66239519" w14:textId="77777777">
        <w:trPr>
          <w:trHeight w:val="597"/>
        </w:trPr>
        <w:tc>
          <w:tcPr>
            <w:tcW w:w="1530" w:type="dxa"/>
            <w:tcBorders>
              <w:top w:val="single" w:sz="6" w:space="0" w:color="D0D7E5"/>
            </w:tcBorders>
          </w:tcPr>
          <w:p w14:paraId="66151A35" w14:textId="77777777" w:rsidR="002E64A0" w:rsidRDefault="005D5200">
            <w:pPr>
              <w:pStyle w:val="TableParagraph"/>
            </w:pPr>
            <w:r>
              <w:t>5324</w:t>
            </w:r>
          </w:p>
        </w:tc>
        <w:tc>
          <w:tcPr>
            <w:tcW w:w="7155" w:type="dxa"/>
            <w:tcBorders>
              <w:top w:val="single" w:sz="6" w:space="0" w:color="D0D7E5"/>
            </w:tcBorders>
          </w:tcPr>
          <w:p w14:paraId="529B4D47" w14:textId="77777777" w:rsidR="002E64A0" w:rsidRDefault="005D5200">
            <w:pPr>
              <w:pStyle w:val="TableParagraph"/>
            </w:pPr>
            <w:r>
              <w:t>Mandatory unobligated balance, end of</w:t>
            </w:r>
          </w:p>
          <w:p w14:paraId="2AF07775" w14:textId="77777777" w:rsidR="002E64A0" w:rsidRDefault="005D5200">
            <w:pPr>
              <w:pStyle w:val="TableParagraph"/>
              <w:spacing w:before="31" w:line="240" w:lineRule="auto"/>
            </w:pPr>
            <w:r>
              <w:t>year</w:t>
            </w:r>
          </w:p>
        </w:tc>
      </w:tr>
      <w:tr w:rsidR="002E64A0" w14:paraId="159C80D3" w14:textId="77777777">
        <w:trPr>
          <w:trHeight w:val="597"/>
        </w:trPr>
        <w:tc>
          <w:tcPr>
            <w:tcW w:w="1530" w:type="dxa"/>
            <w:tcBorders>
              <w:bottom w:val="single" w:sz="6" w:space="0" w:color="D0D7E5"/>
            </w:tcBorders>
          </w:tcPr>
          <w:p w14:paraId="7E1BD8DD" w14:textId="77777777" w:rsidR="002E64A0" w:rsidRDefault="005D5200">
            <w:pPr>
              <w:pStyle w:val="TableParagraph"/>
              <w:spacing w:line="259" w:lineRule="exact"/>
            </w:pPr>
            <w:r>
              <w:t>5331</w:t>
            </w:r>
          </w:p>
        </w:tc>
        <w:tc>
          <w:tcPr>
            <w:tcW w:w="7155" w:type="dxa"/>
            <w:tcBorders>
              <w:bottom w:val="single" w:sz="6" w:space="0" w:color="D0D7E5"/>
            </w:tcBorders>
          </w:tcPr>
          <w:p w14:paraId="0D5B8F00" w14:textId="77777777" w:rsidR="002E64A0" w:rsidRDefault="005D5200">
            <w:pPr>
              <w:pStyle w:val="TableParagraph"/>
              <w:spacing w:line="259" w:lineRule="exact"/>
            </w:pPr>
            <w:r>
              <w:t>Direct obligated balance, start of</w:t>
            </w:r>
          </w:p>
          <w:p w14:paraId="0C899818" w14:textId="77777777" w:rsidR="002E64A0" w:rsidRDefault="005D5200">
            <w:pPr>
              <w:pStyle w:val="TableParagraph"/>
              <w:spacing w:before="31" w:line="240" w:lineRule="auto"/>
            </w:pPr>
            <w:r>
              <w:t>year</w:t>
            </w:r>
          </w:p>
        </w:tc>
      </w:tr>
      <w:tr w:rsidR="002E64A0" w14:paraId="63467DE9" w14:textId="77777777">
        <w:trPr>
          <w:trHeight w:val="600"/>
        </w:trPr>
        <w:tc>
          <w:tcPr>
            <w:tcW w:w="1530" w:type="dxa"/>
            <w:tcBorders>
              <w:top w:val="single" w:sz="6" w:space="0" w:color="D0D7E5"/>
              <w:bottom w:val="single" w:sz="6" w:space="0" w:color="D0D7E5"/>
            </w:tcBorders>
          </w:tcPr>
          <w:p w14:paraId="3006E9A8" w14:textId="77777777" w:rsidR="002E64A0" w:rsidRDefault="005D5200">
            <w:pPr>
              <w:pStyle w:val="TableParagraph"/>
            </w:pPr>
            <w:r>
              <w:t>5332</w:t>
            </w:r>
          </w:p>
        </w:tc>
        <w:tc>
          <w:tcPr>
            <w:tcW w:w="7155" w:type="dxa"/>
            <w:tcBorders>
              <w:top w:val="single" w:sz="6" w:space="0" w:color="D0D7E5"/>
              <w:bottom w:val="single" w:sz="6" w:space="0" w:color="D0D7E5"/>
            </w:tcBorders>
          </w:tcPr>
          <w:p w14:paraId="143EA50E" w14:textId="77777777" w:rsidR="002E64A0" w:rsidRDefault="005D5200">
            <w:pPr>
              <w:pStyle w:val="TableParagraph"/>
            </w:pPr>
            <w:r>
              <w:t>Reimbursable obligated balance, start of</w:t>
            </w:r>
          </w:p>
          <w:p w14:paraId="424EC774" w14:textId="77777777" w:rsidR="002E64A0" w:rsidRDefault="005D5200">
            <w:pPr>
              <w:pStyle w:val="TableParagraph"/>
              <w:spacing w:before="31" w:line="240" w:lineRule="auto"/>
            </w:pPr>
            <w:r>
              <w:t>year</w:t>
            </w:r>
          </w:p>
        </w:tc>
      </w:tr>
      <w:tr w:rsidR="002E64A0" w14:paraId="5011B2F7" w14:textId="77777777">
        <w:trPr>
          <w:trHeight w:val="597"/>
        </w:trPr>
        <w:tc>
          <w:tcPr>
            <w:tcW w:w="1530" w:type="dxa"/>
            <w:tcBorders>
              <w:top w:val="single" w:sz="6" w:space="0" w:color="D0D7E5"/>
            </w:tcBorders>
          </w:tcPr>
          <w:p w14:paraId="22594C82" w14:textId="77777777" w:rsidR="002E64A0" w:rsidRDefault="005D5200">
            <w:pPr>
              <w:pStyle w:val="TableParagraph"/>
            </w:pPr>
            <w:r>
              <w:t>5333</w:t>
            </w:r>
          </w:p>
        </w:tc>
        <w:tc>
          <w:tcPr>
            <w:tcW w:w="7155" w:type="dxa"/>
            <w:tcBorders>
              <w:top w:val="single" w:sz="6" w:space="0" w:color="D0D7E5"/>
            </w:tcBorders>
          </w:tcPr>
          <w:p w14:paraId="56D8CA2D" w14:textId="77777777" w:rsidR="002E64A0" w:rsidRDefault="005D5200">
            <w:pPr>
              <w:pStyle w:val="TableParagraph"/>
            </w:pPr>
            <w:r>
              <w:t>Discretionary obligated balance, start of</w:t>
            </w:r>
          </w:p>
          <w:p w14:paraId="55D10DF7" w14:textId="77777777" w:rsidR="002E64A0" w:rsidRDefault="005D5200">
            <w:pPr>
              <w:pStyle w:val="TableParagraph"/>
              <w:spacing w:before="31" w:line="240" w:lineRule="auto"/>
            </w:pPr>
            <w:r>
              <w:t>year</w:t>
            </w:r>
          </w:p>
        </w:tc>
      </w:tr>
      <w:tr w:rsidR="002E64A0" w14:paraId="2DA3D2BE" w14:textId="77777777">
        <w:trPr>
          <w:trHeight w:val="597"/>
        </w:trPr>
        <w:tc>
          <w:tcPr>
            <w:tcW w:w="1530" w:type="dxa"/>
            <w:tcBorders>
              <w:bottom w:val="single" w:sz="6" w:space="0" w:color="D0D7E5"/>
            </w:tcBorders>
          </w:tcPr>
          <w:p w14:paraId="520B9FB2" w14:textId="77777777" w:rsidR="002E64A0" w:rsidRDefault="005D5200">
            <w:pPr>
              <w:pStyle w:val="TableParagraph"/>
              <w:spacing w:line="258" w:lineRule="exact"/>
            </w:pPr>
            <w:r>
              <w:t>5334</w:t>
            </w:r>
          </w:p>
        </w:tc>
        <w:tc>
          <w:tcPr>
            <w:tcW w:w="7155" w:type="dxa"/>
            <w:tcBorders>
              <w:bottom w:val="single" w:sz="6" w:space="0" w:color="D0D7E5"/>
            </w:tcBorders>
          </w:tcPr>
          <w:p w14:paraId="22FA5412" w14:textId="77777777" w:rsidR="002E64A0" w:rsidRDefault="005D5200">
            <w:pPr>
              <w:pStyle w:val="TableParagraph"/>
              <w:spacing w:line="258" w:lineRule="exact"/>
            </w:pPr>
            <w:r>
              <w:t>Mandatory obligated balance, start of</w:t>
            </w:r>
          </w:p>
          <w:p w14:paraId="7877F94C" w14:textId="77777777" w:rsidR="002E64A0" w:rsidRDefault="005D5200">
            <w:pPr>
              <w:pStyle w:val="TableParagraph"/>
              <w:spacing w:before="31" w:line="240" w:lineRule="auto"/>
            </w:pPr>
            <w:r>
              <w:t>year</w:t>
            </w:r>
          </w:p>
        </w:tc>
      </w:tr>
      <w:tr w:rsidR="002E64A0" w14:paraId="3F088787" w14:textId="77777777">
        <w:trPr>
          <w:trHeight w:val="600"/>
        </w:trPr>
        <w:tc>
          <w:tcPr>
            <w:tcW w:w="1530" w:type="dxa"/>
            <w:tcBorders>
              <w:top w:val="single" w:sz="6" w:space="0" w:color="D0D7E5"/>
              <w:bottom w:val="single" w:sz="6" w:space="0" w:color="D0D7E5"/>
            </w:tcBorders>
          </w:tcPr>
          <w:p w14:paraId="00D89FDD" w14:textId="77777777" w:rsidR="002E64A0" w:rsidRDefault="005D5200">
            <w:pPr>
              <w:pStyle w:val="TableParagraph"/>
            </w:pPr>
            <w:r>
              <w:t>5341</w:t>
            </w:r>
          </w:p>
        </w:tc>
        <w:tc>
          <w:tcPr>
            <w:tcW w:w="7155" w:type="dxa"/>
            <w:tcBorders>
              <w:top w:val="single" w:sz="6" w:space="0" w:color="D0D7E5"/>
              <w:bottom w:val="single" w:sz="6" w:space="0" w:color="D0D7E5"/>
            </w:tcBorders>
          </w:tcPr>
          <w:p w14:paraId="117996CA" w14:textId="77777777" w:rsidR="002E64A0" w:rsidRDefault="005D5200">
            <w:pPr>
              <w:pStyle w:val="TableParagraph"/>
            </w:pPr>
            <w:r>
              <w:t>Direct obligated balance, end of</w:t>
            </w:r>
          </w:p>
          <w:p w14:paraId="009A6B06" w14:textId="77777777" w:rsidR="002E64A0" w:rsidRDefault="005D5200">
            <w:pPr>
              <w:pStyle w:val="TableParagraph"/>
              <w:spacing w:before="31" w:line="240" w:lineRule="auto"/>
            </w:pPr>
            <w:r>
              <w:t>year</w:t>
            </w:r>
          </w:p>
        </w:tc>
      </w:tr>
      <w:tr w:rsidR="002E64A0" w14:paraId="52784347" w14:textId="77777777">
        <w:trPr>
          <w:trHeight w:val="597"/>
        </w:trPr>
        <w:tc>
          <w:tcPr>
            <w:tcW w:w="1530" w:type="dxa"/>
            <w:tcBorders>
              <w:top w:val="single" w:sz="6" w:space="0" w:color="D0D7E5"/>
            </w:tcBorders>
          </w:tcPr>
          <w:p w14:paraId="45442D08" w14:textId="77777777" w:rsidR="002E64A0" w:rsidRDefault="005D5200">
            <w:pPr>
              <w:pStyle w:val="TableParagraph"/>
            </w:pPr>
            <w:r>
              <w:t>5342</w:t>
            </w:r>
          </w:p>
        </w:tc>
        <w:tc>
          <w:tcPr>
            <w:tcW w:w="7155" w:type="dxa"/>
            <w:tcBorders>
              <w:top w:val="single" w:sz="6" w:space="0" w:color="D0D7E5"/>
            </w:tcBorders>
          </w:tcPr>
          <w:p w14:paraId="63807794" w14:textId="77777777" w:rsidR="002E64A0" w:rsidRDefault="005D5200">
            <w:pPr>
              <w:pStyle w:val="TableParagraph"/>
            </w:pPr>
            <w:r>
              <w:t>Reimbursable obligated balance, end of year</w:t>
            </w:r>
          </w:p>
        </w:tc>
      </w:tr>
      <w:tr w:rsidR="002E64A0" w14:paraId="3BD69EA3" w14:textId="77777777">
        <w:trPr>
          <w:trHeight w:val="597"/>
        </w:trPr>
        <w:tc>
          <w:tcPr>
            <w:tcW w:w="1530" w:type="dxa"/>
            <w:tcBorders>
              <w:bottom w:val="single" w:sz="6" w:space="0" w:color="D0D7E5"/>
            </w:tcBorders>
          </w:tcPr>
          <w:p w14:paraId="6AB9E4D0" w14:textId="77777777" w:rsidR="002E64A0" w:rsidRDefault="005D5200">
            <w:pPr>
              <w:pStyle w:val="TableParagraph"/>
              <w:spacing w:line="258" w:lineRule="exact"/>
            </w:pPr>
            <w:r>
              <w:t>5343</w:t>
            </w:r>
          </w:p>
        </w:tc>
        <w:tc>
          <w:tcPr>
            <w:tcW w:w="7155" w:type="dxa"/>
            <w:tcBorders>
              <w:bottom w:val="single" w:sz="6" w:space="0" w:color="D0D7E5"/>
            </w:tcBorders>
          </w:tcPr>
          <w:p w14:paraId="788C0096" w14:textId="77777777" w:rsidR="002E64A0" w:rsidRDefault="005D5200">
            <w:pPr>
              <w:pStyle w:val="TableParagraph"/>
              <w:spacing w:line="258" w:lineRule="exact"/>
            </w:pPr>
            <w:r>
              <w:t>Discretionary obligated balance, end of</w:t>
            </w:r>
          </w:p>
          <w:p w14:paraId="2DFF7274" w14:textId="77777777" w:rsidR="002E64A0" w:rsidRDefault="005D5200">
            <w:pPr>
              <w:pStyle w:val="TableParagraph"/>
              <w:spacing w:before="31" w:line="240" w:lineRule="auto"/>
            </w:pPr>
            <w:r>
              <w:t>year</w:t>
            </w:r>
          </w:p>
        </w:tc>
      </w:tr>
      <w:tr w:rsidR="002E64A0" w14:paraId="01B4DDA3" w14:textId="77777777">
        <w:trPr>
          <w:trHeight w:val="600"/>
        </w:trPr>
        <w:tc>
          <w:tcPr>
            <w:tcW w:w="1530" w:type="dxa"/>
            <w:tcBorders>
              <w:top w:val="single" w:sz="6" w:space="0" w:color="D0D7E5"/>
              <w:bottom w:val="single" w:sz="6" w:space="0" w:color="D0D7E5"/>
            </w:tcBorders>
          </w:tcPr>
          <w:p w14:paraId="3390AC88" w14:textId="77777777" w:rsidR="002E64A0" w:rsidRDefault="005D5200">
            <w:pPr>
              <w:pStyle w:val="TableParagraph"/>
            </w:pPr>
            <w:r>
              <w:t>5344</w:t>
            </w:r>
          </w:p>
        </w:tc>
        <w:tc>
          <w:tcPr>
            <w:tcW w:w="7155" w:type="dxa"/>
            <w:tcBorders>
              <w:top w:val="single" w:sz="6" w:space="0" w:color="D0D7E5"/>
              <w:bottom w:val="single" w:sz="6" w:space="0" w:color="D0D7E5"/>
            </w:tcBorders>
          </w:tcPr>
          <w:p w14:paraId="5037A4AA" w14:textId="77777777" w:rsidR="002E64A0" w:rsidRDefault="005D5200">
            <w:pPr>
              <w:pStyle w:val="TableParagraph"/>
            </w:pPr>
            <w:r>
              <w:t>Mandatory obligated balance, end of year</w:t>
            </w:r>
          </w:p>
        </w:tc>
      </w:tr>
    </w:tbl>
    <w:p w14:paraId="12A75B75" w14:textId="77777777" w:rsidR="002E64A0" w:rsidRDefault="002E64A0">
      <w:pPr>
        <w:pStyle w:val="BodyText"/>
        <w:rPr>
          <w:sz w:val="20"/>
        </w:rPr>
      </w:pPr>
    </w:p>
    <w:p w14:paraId="396C558C" w14:textId="77777777" w:rsidR="002E64A0" w:rsidRDefault="002E64A0">
      <w:pPr>
        <w:pStyle w:val="BodyText"/>
        <w:rPr>
          <w:sz w:val="20"/>
        </w:rPr>
      </w:pPr>
    </w:p>
    <w:p w14:paraId="0C1AB5A1" w14:textId="77777777" w:rsidR="002E64A0" w:rsidRDefault="002E64A0">
      <w:pPr>
        <w:pStyle w:val="BodyText"/>
        <w:rPr>
          <w:sz w:val="20"/>
        </w:rPr>
      </w:pPr>
    </w:p>
    <w:p w14:paraId="77B685D3" w14:textId="77777777" w:rsidR="002E64A0" w:rsidRDefault="004E3559">
      <w:pPr>
        <w:pStyle w:val="Heading1"/>
        <w:spacing w:before="180"/>
        <w:rPr>
          <w:u w:val="none"/>
        </w:rPr>
      </w:pPr>
      <w:hyperlink>
        <w:r w:rsidR="005D5200">
          <w:rPr>
            <w:color w:val="0563C1"/>
            <w:u w:color="0563C1"/>
          </w:rPr>
          <w:t>Abnormal Balances in Budgetary USSGL Accounts</w:t>
        </w:r>
      </w:hyperlink>
    </w:p>
    <w:p w14:paraId="3038F387" w14:textId="77777777" w:rsidR="002E64A0" w:rsidRDefault="002E64A0">
      <w:pPr>
        <w:pStyle w:val="BodyText"/>
        <w:spacing w:before="9"/>
        <w:rPr>
          <w:rFonts w:ascii="Calibri"/>
          <w:b/>
        </w:rPr>
      </w:pPr>
    </w:p>
    <w:p w14:paraId="13E34FE5" w14:textId="77777777" w:rsidR="002E64A0" w:rsidRDefault="005D5200">
      <w:pPr>
        <w:pStyle w:val="BodyText"/>
        <w:spacing w:before="59" w:line="268" w:lineRule="auto"/>
        <w:ind w:left="120" w:right="279"/>
      </w:pPr>
      <w:r>
        <w:t>On the FY 2021 USSGL to SF 133/Schedule P crosswalk presented today at the February 10, 2021 IRC meeting, notes have been added to identify that abnormal  balances  on budgetary  permutations have been included on this crosswalk as a result of agencies continuing to report abnormal balances  in budgetary USSGL</w:t>
      </w:r>
      <w:r>
        <w:rPr>
          <w:spacing w:val="4"/>
        </w:rPr>
        <w:t xml:space="preserve"> </w:t>
      </w:r>
      <w:r>
        <w:t>accounts.</w:t>
      </w:r>
    </w:p>
    <w:p w14:paraId="127CD378" w14:textId="77777777" w:rsidR="002E64A0" w:rsidRDefault="002E64A0">
      <w:pPr>
        <w:pStyle w:val="BodyText"/>
        <w:spacing w:before="4"/>
        <w:rPr>
          <w:sz w:val="24"/>
        </w:rPr>
      </w:pPr>
    </w:p>
    <w:p w14:paraId="59C95CD0" w14:textId="77777777" w:rsidR="002E64A0" w:rsidRDefault="005D5200">
      <w:pPr>
        <w:pStyle w:val="BodyText"/>
        <w:spacing w:line="268" w:lineRule="auto"/>
        <w:ind w:left="120" w:right="244"/>
      </w:pPr>
      <w:r>
        <w:t>While the budgetary guidance contained in OMB Circular No. A-11 (A-11) and the USSGL budgetary accounting guidance contained on Fiscal Service USSGL website supporting A-11 only reflects budgetary entries that result in normal balances for the budgetary USSGL accounts, OMB is taking the</w:t>
      </w:r>
      <w:r>
        <w:rPr>
          <w:spacing w:val="12"/>
        </w:rPr>
        <w:t xml:space="preserve"> </w:t>
      </w:r>
      <w:r>
        <w:t>following</w:t>
      </w:r>
      <w:r>
        <w:rPr>
          <w:spacing w:val="13"/>
        </w:rPr>
        <w:t xml:space="preserve"> </w:t>
      </w:r>
      <w:r>
        <w:t>steps</w:t>
      </w:r>
      <w:r>
        <w:rPr>
          <w:spacing w:val="13"/>
        </w:rPr>
        <w:t xml:space="preserve"> </w:t>
      </w:r>
      <w:r>
        <w:t>to</w:t>
      </w:r>
      <w:r>
        <w:rPr>
          <w:spacing w:val="13"/>
        </w:rPr>
        <w:t xml:space="preserve"> </w:t>
      </w:r>
      <w:r>
        <w:t>work</w:t>
      </w:r>
      <w:r>
        <w:rPr>
          <w:spacing w:val="13"/>
        </w:rPr>
        <w:t xml:space="preserve"> </w:t>
      </w:r>
      <w:r>
        <w:t>towards</w:t>
      </w:r>
      <w:r>
        <w:rPr>
          <w:spacing w:val="12"/>
        </w:rPr>
        <w:t xml:space="preserve"> </w:t>
      </w:r>
      <w:r>
        <w:t>the</w:t>
      </w:r>
      <w:r>
        <w:rPr>
          <w:spacing w:val="13"/>
        </w:rPr>
        <w:t xml:space="preserve"> </w:t>
      </w:r>
      <w:r>
        <w:t>goal</w:t>
      </w:r>
      <w:r>
        <w:rPr>
          <w:spacing w:val="13"/>
        </w:rPr>
        <w:t xml:space="preserve"> </w:t>
      </w:r>
      <w:r>
        <w:t>of</w:t>
      </w:r>
      <w:r>
        <w:rPr>
          <w:spacing w:val="12"/>
        </w:rPr>
        <w:t xml:space="preserve"> </w:t>
      </w:r>
      <w:r>
        <w:t>agencies</w:t>
      </w:r>
      <w:r>
        <w:rPr>
          <w:spacing w:val="12"/>
        </w:rPr>
        <w:t xml:space="preserve"> </w:t>
      </w:r>
      <w:r>
        <w:t>resolving</w:t>
      </w:r>
      <w:r>
        <w:rPr>
          <w:spacing w:val="13"/>
        </w:rPr>
        <w:t xml:space="preserve"> </w:t>
      </w:r>
      <w:r>
        <w:t>the</w:t>
      </w:r>
      <w:r>
        <w:rPr>
          <w:spacing w:val="13"/>
        </w:rPr>
        <w:t xml:space="preserve"> </w:t>
      </w:r>
      <w:r>
        <w:t>abnormal</w:t>
      </w:r>
      <w:r>
        <w:rPr>
          <w:spacing w:val="13"/>
        </w:rPr>
        <w:t xml:space="preserve"> </w:t>
      </w:r>
      <w:r>
        <w:t>balances</w:t>
      </w:r>
      <w:r>
        <w:rPr>
          <w:spacing w:val="13"/>
        </w:rPr>
        <w:t xml:space="preserve"> </w:t>
      </w:r>
      <w:r>
        <w:t>that</w:t>
      </w:r>
      <w:r>
        <w:rPr>
          <w:spacing w:val="12"/>
        </w:rPr>
        <w:t xml:space="preserve"> </w:t>
      </w:r>
      <w:r>
        <w:t>they</w:t>
      </w:r>
    </w:p>
    <w:p w14:paraId="1CFA7693" w14:textId="77777777" w:rsidR="002E64A0" w:rsidRDefault="002E64A0">
      <w:pPr>
        <w:spacing w:line="268" w:lineRule="auto"/>
        <w:sectPr w:rsidR="002E64A0">
          <w:pgSz w:w="12240" w:h="15840"/>
          <w:pgMar w:top="1080" w:right="1480" w:bottom="280" w:left="1440" w:header="720" w:footer="720" w:gutter="0"/>
          <w:cols w:space="720"/>
        </w:sectPr>
      </w:pPr>
    </w:p>
    <w:p w14:paraId="4FA3A52A" w14:textId="77777777" w:rsidR="002E64A0" w:rsidRDefault="005D5200">
      <w:pPr>
        <w:pStyle w:val="BodyText"/>
        <w:spacing w:before="40" w:line="268" w:lineRule="auto"/>
        <w:ind w:left="120"/>
      </w:pPr>
      <w:r>
        <w:lastRenderedPageBreak/>
        <w:t>are currently reporting and to close the “loophole” in allowing any new TAFS to report abnormal balances going forward.</w:t>
      </w:r>
    </w:p>
    <w:p w14:paraId="54042C33" w14:textId="77777777" w:rsidR="002E64A0" w:rsidRDefault="002E64A0">
      <w:pPr>
        <w:pStyle w:val="BodyText"/>
        <w:spacing w:before="5"/>
        <w:rPr>
          <w:sz w:val="24"/>
        </w:rPr>
      </w:pPr>
    </w:p>
    <w:p w14:paraId="3F20889A" w14:textId="77777777" w:rsidR="002E64A0" w:rsidRDefault="005D5200">
      <w:pPr>
        <w:pStyle w:val="BodyText"/>
        <w:spacing w:before="1" w:line="268" w:lineRule="auto"/>
        <w:ind w:left="120" w:right="244"/>
      </w:pPr>
      <w:r>
        <w:t>First Step: OMB and Fiscal Service added comments to the FY 2021 USSGL to SF 133/Schedule P crosswalk to clarify where abnormal balances are actually only permitted to crosswalk to allow  specific agencies to continue their work towards resolving their abnormal balances reported in the GTAS reporting windows. However, because there does not seems to be much initiative to resolve these abnormal balances, OMB has notified agencies via the comments added to the FY 2021 USSGL to</w:t>
      </w:r>
      <w:r>
        <w:rPr>
          <w:spacing w:val="10"/>
        </w:rPr>
        <w:t xml:space="preserve"> </w:t>
      </w:r>
      <w:r>
        <w:t>SF</w:t>
      </w:r>
      <w:r>
        <w:rPr>
          <w:spacing w:val="11"/>
        </w:rPr>
        <w:t xml:space="preserve"> </w:t>
      </w:r>
      <w:r>
        <w:t>133/Schedule</w:t>
      </w:r>
      <w:r>
        <w:rPr>
          <w:spacing w:val="11"/>
        </w:rPr>
        <w:t xml:space="preserve"> </w:t>
      </w:r>
      <w:r>
        <w:t>P</w:t>
      </w:r>
      <w:r>
        <w:rPr>
          <w:spacing w:val="11"/>
        </w:rPr>
        <w:t xml:space="preserve"> </w:t>
      </w:r>
      <w:r>
        <w:t>crosswalk</w:t>
      </w:r>
      <w:r>
        <w:rPr>
          <w:spacing w:val="9"/>
        </w:rPr>
        <w:t xml:space="preserve"> </w:t>
      </w:r>
      <w:r>
        <w:t>that</w:t>
      </w:r>
      <w:r>
        <w:rPr>
          <w:spacing w:val="11"/>
        </w:rPr>
        <w:t xml:space="preserve"> </w:t>
      </w:r>
      <w:r>
        <w:t>they</w:t>
      </w:r>
      <w:r>
        <w:rPr>
          <w:spacing w:val="11"/>
        </w:rPr>
        <w:t xml:space="preserve"> </w:t>
      </w:r>
      <w:r>
        <w:t>now</w:t>
      </w:r>
      <w:r>
        <w:rPr>
          <w:spacing w:val="10"/>
        </w:rPr>
        <w:t xml:space="preserve"> </w:t>
      </w:r>
      <w:r>
        <w:t>have</w:t>
      </w:r>
      <w:r>
        <w:rPr>
          <w:spacing w:val="11"/>
        </w:rPr>
        <w:t xml:space="preserve"> </w:t>
      </w:r>
      <w:r>
        <w:t>a</w:t>
      </w:r>
      <w:r>
        <w:rPr>
          <w:spacing w:val="11"/>
        </w:rPr>
        <w:t xml:space="preserve"> </w:t>
      </w:r>
      <w:r>
        <w:t>deadline</w:t>
      </w:r>
      <w:r>
        <w:rPr>
          <w:spacing w:val="11"/>
        </w:rPr>
        <w:t xml:space="preserve"> </w:t>
      </w:r>
      <w:r>
        <w:t>to</w:t>
      </w:r>
      <w:r>
        <w:rPr>
          <w:spacing w:val="10"/>
        </w:rPr>
        <w:t xml:space="preserve"> </w:t>
      </w:r>
      <w:r>
        <w:t>resolve</w:t>
      </w:r>
      <w:r>
        <w:rPr>
          <w:spacing w:val="11"/>
        </w:rPr>
        <w:t xml:space="preserve"> </w:t>
      </w:r>
      <w:r>
        <w:t>these</w:t>
      </w:r>
      <w:r>
        <w:rPr>
          <w:spacing w:val="11"/>
        </w:rPr>
        <w:t xml:space="preserve"> </w:t>
      </w:r>
      <w:r>
        <w:t>abnormal</w:t>
      </w:r>
      <w:r>
        <w:rPr>
          <w:spacing w:val="11"/>
        </w:rPr>
        <w:t xml:space="preserve"> </w:t>
      </w:r>
      <w:r>
        <w:t>balances.</w:t>
      </w:r>
    </w:p>
    <w:p w14:paraId="5E25613F" w14:textId="77777777" w:rsidR="002E64A0" w:rsidRDefault="002E64A0">
      <w:pPr>
        <w:pStyle w:val="BodyText"/>
        <w:spacing w:before="1"/>
        <w:rPr>
          <w:sz w:val="24"/>
        </w:rPr>
      </w:pPr>
    </w:p>
    <w:p w14:paraId="5B109DE7" w14:textId="77777777" w:rsidR="002E64A0" w:rsidRDefault="005D5200">
      <w:pPr>
        <w:pStyle w:val="BodyText"/>
        <w:spacing w:line="268" w:lineRule="auto"/>
        <w:ind w:left="119" w:right="271"/>
      </w:pPr>
      <w:r>
        <w:t>Second Step: OMB will work with its Fiscal Service counterparts to limit abnormal budgetary USSGL account balances via GTAS validations starting in the FY 2021-06 GTAS reporting window. The TAFSs allowed to report abnormal balances for particular budgetary USSGL accounts in FY 2021 will be   based on agency FY 2021-04 GTAS reporting.  OMB will forward the exception list (that will allow  TAFSs to be reported with abnormal balances) to IRC contacts via Joshua Hudkins to distribute to the agencies.   If your agency feels it has a situation where a TAFS should be added, these requests will    be discussed on a case by case basis, and your agency must submit a GTAS override request (</w:t>
      </w:r>
      <w:hyperlink r:id="rId8">
        <w:r>
          <w:rPr>
            <w:color w:val="0563C1"/>
            <w:u w:val="single" w:color="0563C1"/>
          </w:rPr>
          <w:t>https://community.max.gov/x/ZoDxKQ</w:t>
        </w:r>
      </w:hyperlink>
      <w:r>
        <w:t>) in the Budgetary USSGL Permutation Change folder. Please  do not assume that your agency TAFS will automatically be added to the list. As identified in the comments added to the crosswalk, agencies will have until FY 2022-09 (for particular budgetary  USSGL accounts) or FY 2023-09 (for other particular budgetary USSGL accounts) as identified on the crosswalk.</w:t>
      </w:r>
    </w:p>
    <w:p w14:paraId="278695F7" w14:textId="77777777" w:rsidR="002E64A0" w:rsidRDefault="002E64A0">
      <w:pPr>
        <w:pStyle w:val="BodyText"/>
        <w:spacing w:before="10"/>
        <w:rPr>
          <w:sz w:val="23"/>
        </w:rPr>
      </w:pPr>
    </w:p>
    <w:p w14:paraId="7133DF8C" w14:textId="77777777" w:rsidR="002E64A0" w:rsidRDefault="005D5200">
      <w:pPr>
        <w:pStyle w:val="BodyText"/>
        <w:spacing w:line="268" w:lineRule="auto"/>
        <w:ind w:left="119" w:right="108"/>
      </w:pPr>
      <w:r>
        <w:t>Third Step: For FY 2022 GTAS reporting, OMB will review the FY 2021-12 GTAS reporting (including  any revisions) and will identify TAFSs that will be allowed to report abnormal balances for particular budgetary USSGL accounts in FY 2022. If your agency feels it has a situation where a TAFS should be added, these requests will be discussed on a case by case basis, and your agency must submit a     GTAS override request (</w:t>
      </w:r>
      <w:hyperlink r:id="rId9">
        <w:r>
          <w:rPr>
            <w:color w:val="0563C1"/>
            <w:u w:val="single" w:color="0563C1"/>
          </w:rPr>
          <w:t>https://community.max.gov/x/ZoDxKQ</w:t>
        </w:r>
      </w:hyperlink>
      <w:r>
        <w:t>) in the Budgetary USSGL Permutation Change</w:t>
      </w:r>
      <w:r>
        <w:rPr>
          <w:spacing w:val="9"/>
        </w:rPr>
        <w:t xml:space="preserve"> </w:t>
      </w:r>
      <w:r>
        <w:t>folder.</w:t>
      </w:r>
      <w:r>
        <w:rPr>
          <w:spacing w:val="19"/>
        </w:rPr>
        <w:t xml:space="preserve"> </w:t>
      </w:r>
      <w:r>
        <w:t>Please</w:t>
      </w:r>
      <w:r>
        <w:rPr>
          <w:spacing w:val="9"/>
        </w:rPr>
        <w:t xml:space="preserve"> </w:t>
      </w:r>
      <w:r>
        <w:t>do</w:t>
      </w:r>
      <w:r>
        <w:rPr>
          <w:spacing w:val="10"/>
        </w:rPr>
        <w:t xml:space="preserve"> </w:t>
      </w:r>
      <w:r>
        <w:t>not</w:t>
      </w:r>
      <w:r>
        <w:rPr>
          <w:spacing w:val="9"/>
        </w:rPr>
        <w:t xml:space="preserve"> </w:t>
      </w:r>
      <w:r>
        <w:t>assume</w:t>
      </w:r>
      <w:r>
        <w:rPr>
          <w:spacing w:val="9"/>
        </w:rPr>
        <w:t xml:space="preserve"> </w:t>
      </w:r>
      <w:r>
        <w:t>that</w:t>
      </w:r>
      <w:r>
        <w:rPr>
          <w:spacing w:val="10"/>
        </w:rPr>
        <w:t xml:space="preserve"> </w:t>
      </w:r>
      <w:r>
        <w:t>your</w:t>
      </w:r>
      <w:r>
        <w:rPr>
          <w:spacing w:val="9"/>
        </w:rPr>
        <w:t xml:space="preserve"> </w:t>
      </w:r>
      <w:r>
        <w:t>agency</w:t>
      </w:r>
      <w:r>
        <w:rPr>
          <w:spacing w:val="10"/>
        </w:rPr>
        <w:t xml:space="preserve"> </w:t>
      </w:r>
      <w:r>
        <w:t>TAFS</w:t>
      </w:r>
      <w:r>
        <w:rPr>
          <w:spacing w:val="8"/>
        </w:rPr>
        <w:t xml:space="preserve"> </w:t>
      </w:r>
      <w:r>
        <w:t>will</w:t>
      </w:r>
      <w:r>
        <w:rPr>
          <w:spacing w:val="9"/>
        </w:rPr>
        <w:t xml:space="preserve"> </w:t>
      </w:r>
      <w:r>
        <w:t>automatically</w:t>
      </w:r>
      <w:r>
        <w:rPr>
          <w:spacing w:val="10"/>
        </w:rPr>
        <w:t xml:space="preserve"> </w:t>
      </w:r>
      <w:r>
        <w:t>be</w:t>
      </w:r>
      <w:r>
        <w:rPr>
          <w:spacing w:val="9"/>
        </w:rPr>
        <w:t xml:space="preserve"> </w:t>
      </w:r>
      <w:r>
        <w:t>added</w:t>
      </w:r>
      <w:r>
        <w:rPr>
          <w:spacing w:val="10"/>
        </w:rPr>
        <w:t xml:space="preserve"> </w:t>
      </w:r>
      <w:r>
        <w:t>to</w:t>
      </w:r>
      <w:r>
        <w:rPr>
          <w:spacing w:val="9"/>
        </w:rPr>
        <w:t xml:space="preserve"> </w:t>
      </w:r>
      <w:r>
        <w:t>the</w:t>
      </w:r>
      <w:r>
        <w:rPr>
          <w:spacing w:val="9"/>
        </w:rPr>
        <w:t xml:space="preserve"> </w:t>
      </w:r>
      <w:r>
        <w:t>list.</w:t>
      </w:r>
    </w:p>
    <w:p w14:paraId="6E13EE40" w14:textId="77777777" w:rsidR="002E64A0" w:rsidRDefault="002E64A0">
      <w:pPr>
        <w:pStyle w:val="BodyText"/>
        <w:spacing w:before="3"/>
        <w:rPr>
          <w:sz w:val="24"/>
        </w:rPr>
      </w:pPr>
    </w:p>
    <w:p w14:paraId="0DA7F8C7" w14:textId="77777777" w:rsidR="002E64A0" w:rsidRDefault="005D5200">
      <w:pPr>
        <w:pStyle w:val="BodyText"/>
        <w:spacing w:line="268" w:lineRule="auto"/>
        <w:ind w:left="119" w:right="467"/>
      </w:pPr>
      <w:r>
        <w:t xml:space="preserve">As always, OMB looks forward to assist agencies where it is appropriate to resolve these types of issues; but the primary responsibility is the agency. If an agency does not feel that there is appropriate budgetary USSGL guidance, an agency is expected to report an issue at </w:t>
      </w:r>
      <w:hyperlink r:id="rId10">
        <w:r>
          <w:rPr>
            <w:color w:val="0563C1"/>
            <w:u w:val="single" w:color="0563C1"/>
          </w:rPr>
          <w:t>https://www.fiscal.treasury.gov/ussgl/report-an-issue.html</w:t>
        </w:r>
        <w:r>
          <w:rPr>
            <w:color w:val="0563C1"/>
          </w:rPr>
          <w:t xml:space="preserve"> </w:t>
        </w:r>
      </w:hyperlink>
      <w:r>
        <w:t>.</w:t>
      </w:r>
    </w:p>
    <w:p w14:paraId="7FFF9094" w14:textId="77777777" w:rsidR="002E64A0" w:rsidRDefault="002E64A0">
      <w:pPr>
        <w:pStyle w:val="BodyText"/>
      </w:pPr>
    </w:p>
    <w:p w14:paraId="0A5A7701" w14:textId="77777777" w:rsidR="002E64A0" w:rsidRDefault="002E64A0">
      <w:pPr>
        <w:pStyle w:val="BodyText"/>
      </w:pPr>
    </w:p>
    <w:p w14:paraId="4B9410F1" w14:textId="77777777" w:rsidR="002E64A0" w:rsidRDefault="002E64A0">
      <w:pPr>
        <w:pStyle w:val="BodyText"/>
        <w:spacing w:before="2"/>
        <w:rPr>
          <w:sz w:val="30"/>
        </w:rPr>
      </w:pPr>
    </w:p>
    <w:p w14:paraId="0A5AD481" w14:textId="77777777" w:rsidR="002E64A0" w:rsidRDefault="005D5200">
      <w:pPr>
        <w:ind w:left="120"/>
        <w:rPr>
          <w:i/>
          <w:sz w:val="18"/>
        </w:rPr>
      </w:pPr>
      <w:r>
        <w:rPr>
          <w:color w:val="1F497D"/>
          <w:sz w:val="18"/>
        </w:rPr>
        <w:t xml:space="preserve">Teresa A Tancre | </w:t>
      </w:r>
      <w:r>
        <w:rPr>
          <w:i/>
          <w:color w:val="1F497D"/>
          <w:sz w:val="18"/>
        </w:rPr>
        <w:t>Budget Methods Specialist</w:t>
      </w:r>
    </w:p>
    <w:p w14:paraId="5997225E" w14:textId="77777777" w:rsidR="002E64A0" w:rsidRDefault="005D5200">
      <w:pPr>
        <w:spacing w:before="35" w:line="278" w:lineRule="auto"/>
        <w:ind w:left="120" w:right="1873"/>
        <w:rPr>
          <w:sz w:val="18"/>
        </w:rPr>
      </w:pPr>
      <w:r>
        <w:rPr>
          <w:color w:val="1F497D"/>
          <w:sz w:val="18"/>
        </w:rPr>
        <w:t>Office of Management and Budget | Budget Review and Concepts Division | Budget Concepts Branch Office Hours: W &amp; TH (7:00 AM – 4:30 PM); F (7:00 AM – 11:00 AM)</w:t>
      </w:r>
    </w:p>
    <w:p w14:paraId="160E5142" w14:textId="77777777" w:rsidR="002E64A0" w:rsidRDefault="005D5200">
      <w:pPr>
        <w:spacing w:before="1" w:line="278" w:lineRule="auto"/>
        <w:ind w:left="120" w:right="5974"/>
        <w:rPr>
          <w:sz w:val="18"/>
        </w:rPr>
      </w:pPr>
      <w:r>
        <w:rPr>
          <w:color w:val="1F497D"/>
          <w:sz w:val="18"/>
        </w:rPr>
        <w:t>Telework Hours: M &amp; T (7:00 AM – 4:30 PM) Telework Phone: 571-224-7216</w:t>
      </w:r>
    </w:p>
    <w:sectPr w:rsidR="002E64A0">
      <w:pgSz w:w="12240" w:h="15840"/>
      <w:pgMar w:top="1040" w:right="14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625D" w14:textId="77777777" w:rsidR="004E3559" w:rsidRDefault="004E3559" w:rsidP="005D5200">
      <w:r>
        <w:separator/>
      </w:r>
    </w:p>
  </w:endnote>
  <w:endnote w:type="continuationSeparator" w:id="0">
    <w:p w14:paraId="5C2FD77D" w14:textId="77777777" w:rsidR="004E3559" w:rsidRDefault="004E3559" w:rsidP="005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7E9A" w14:textId="25682EDD" w:rsidR="005D5200" w:rsidRDefault="005D5200">
    <w:pPr>
      <w:pStyle w:val="Footer"/>
    </w:pPr>
    <w:r>
      <w:t>IRC Handout February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33AF" w14:textId="77777777" w:rsidR="004E3559" w:rsidRDefault="004E3559" w:rsidP="005D5200">
      <w:r>
        <w:separator/>
      </w:r>
    </w:p>
  </w:footnote>
  <w:footnote w:type="continuationSeparator" w:id="0">
    <w:p w14:paraId="2CEF45DA" w14:textId="77777777" w:rsidR="004E3559" w:rsidRDefault="004E3559" w:rsidP="005D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64A0"/>
    <w:rsid w:val="002C341B"/>
    <w:rsid w:val="002E64A0"/>
    <w:rsid w:val="004E3559"/>
    <w:rsid w:val="005D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B3B937"/>
  <w15:docId w15:val="{BA98234B-A43C-4F4B-A5D3-A2A0E20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462"/>
      <w:outlineLvl w:val="0"/>
    </w:pPr>
    <w:rPr>
      <w:rFonts w:ascii="Calibri" w:eastAsia="Calibri" w:hAnsi="Calibri" w:cs="Calibri"/>
      <w:b/>
      <w:bCs/>
      <w:sz w:val="31"/>
      <w:szCs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1" w:lineRule="exact"/>
      <w:ind w:left="35"/>
    </w:pPr>
  </w:style>
  <w:style w:type="paragraph" w:styleId="Header">
    <w:name w:val="header"/>
    <w:basedOn w:val="Normal"/>
    <w:link w:val="HeaderChar"/>
    <w:uiPriority w:val="99"/>
    <w:unhideWhenUsed/>
    <w:rsid w:val="005D5200"/>
    <w:pPr>
      <w:tabs>
        <w:tab w:val="center" w:pos="4680"/>
        <w:tab w:val="right" w:pos="9360"/>
      </w:tabs>
    </w:pPr>
  </w:style>
  <w:style w:type="character" w:customStyle="1" w:styleId="HeaderChar">
    <w:name w:val="Header Char"/>
    <w:basedOn w:val="DefaultParagraphFont"/>
    <w:link w:val="Header"/>
    <w:uiPriority w:val="99"/>
    <w:rsid w:val="005D5200"/>
    <w:rPr>
      <w:rFonts w:ascii="Calibri Light" w:eastAsia="Calibri Light" w:hAnsi="Calibri Light" w:cs="Calibri Light"/>
    </w:rPr>
  </w:style>
  <w:style w:type="paragraph" w:styleId="Footer">
    <w:name w:val="footer"/>
    <w:basedOn w:val="Normal"/>
    <w:link w:val="FooterChar"/>
    <w:uiPriority w:val="99"/>
    <w:unhideWhenUsed/>
    <w:rsid w:val="005D5200"/>
    <w:pPr>
      <w:tabs>
        <w:tab w:val="center" w:pos="4680"/>
        <w:tab w:val="right" w:pos="9360"/>
      </w:tabs>
    </w:pPr>
  </w:style>
  <w:style w:type="character" w:customStyle="1" w:styleId="FooterChar">
    <w:name w:val="Footer Char"/>
    <w:basedOn w:val="DefaultParagraphFont"/>
    <w:link w:val="Footer"/>
    <w:uiPriority w:val="99"/>
    <w:rsid w:val="005D5200"/>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max.gov/x/ZoDxKQ"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max.gov/x/vwmi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iscal.treasury.gov/ussgl/report-an-issue.html" TargetMode="External"/><Relationship Id="rId4" Type="http://schemas.openxmlformats.org/officeDocument/2006/relationships/footnotes" Target="footnotes.xml"/><Relationship Id="rId9" Type="http://schemas.openxmlformats.org/officeDocument/2006/relationships/hyperlink" Target="https://community.max.gov/x/ZoDx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Company>BFS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 Burke</dc:creator>
  <cp:lastModifiedBy>Elizabeth W. Burke</cp:lastModifiedBy>
  <cp:revision>2</cp:revision>
  <dcterms:created xsi:type="dcterms:W3CDTF">2021-02-10T20:43:00Z</dcterms:created>
  <dcterms:modified xsi:type="dcterms:W3CDTF">2021-02-10T20:43:00Z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Acrobat PDFMaker 17 for Microsoft Outlook</vt:lpwstr>
  </property>
  <property fmtid="{D5CDD505-2E9C-101B-9397-08002B2CF9AE}" pid="4" name="LastSaved">
    <vt:filetime>2021-02-10T00:00:00Z</vt:filetime>
  </property>
</Properties>
</file>