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C6CE" w14:textId="77777777" w:rsidR="00B9509C" w:rsidRDefault="00B9509C" w:rsidP="0047790F">
      <w:pPr>
        <w:jc w:val="center"/>
        <w:rPr>
          <w:rFonts w:cs="Times New Roman"/>
          <w:b/>
          <w:sz w:val="21"/>
          <w:szCs w:val="21"/>
        </w:rPr>
      </w:pPr>
      <w:bookmarkStart w:id="0" w:name="OLE_LINK1"/>
      <w:bookmarkStart w:id="1" w:name="_GoBack"/>
      <w:bookmarkEnd w:id="1"/>
    </w:p>
    <w:p w14:paraId="29088EB3" w14:textId="77777777" w:rsidR="00B9509C" w:rsidRDefault="00B9509C" w:rsidP="0047790F">
      <w:pPr>
        <w:jc w:val="center"/>
        <w:rPr>
          <w:rFonts w:cs="Times New Roman"/>
          <w:b/>
          <w:sz w:val="21"/>
          <w:szCs w:val="21"/>
        </w:rPr>
      </w:pPr>
    </w:p>
    <w:p w14:paraId="23F9CE06" w14:textId="324FBFC1" w:rsidR="00B9509C" w:rsidRDefault="0047790F" w:rsidP="00205A56">
      <w:pPr>
        <w:jc w:val="center"/>
        <w:rPr>
          <w:rFonts w:cs="Times New Roman"/>
          <w:b/>
          <w:sz w:val="21"/>
          <w:szCs w:val="21"/>
        </w:rPr>
      </w:pPr>
      <w:r w:rsidRPr="00301412">
        <w:rPr>
          <w:rFonts w:cs="Times New Roman"/>
          <w:b/>
          <w:sz w:val="21"/>
          <w:szCs w:val="21"/>
        </w:rPr>
        <w:t>TRACKING DISASTER</w:t>
      </w:r>
      <w:r w:rsidR="00B769E3">
        <w:rPr>
          <w:rFonts w:cs="Times New Roman"/>
          <w:b/>
          <w:sz w:val="21"/>
          <w:szCs w:val="21"/>
        </w:rPr>
        <w:t>S AND</w:t>
      </w:r>
      <w:r w:rsidR="00205A56">
        <w:rPr>
          <w:rFonts w:cs="Times New Roman"/>
          <w:b/>
          <w:sz w:val="21"/>
          <w:szCs w:val="21"/>
        </w:rPr>
        <w:t xml:space="preserve"> </w:t>
      </w:r>
      <w:r w:rsidR="00B769E3">
        <w:rPr>
          <w:rFonts w:cs="Times New Roman"/>
          <w:b/>
          <w:sz w:val="21"/>
          <w:szCs w:val="21"/>
        </w:rPr>
        <w:t>EMERGENCIES</w:t>
      </w:r>
      <w:r w:rsidRPr="00301412">
        <w:rPr>
          <w:rFonts w:cs="Times New Roman"/>
          <w:b/>
          <w:sz w:val="21"/>
          <w:szCs w:val="21"/>
        </w:rPr>
        <w:t xml:space="preserve"> </w:t>
      </w:r>
    </w:p>
    <w:p w14:paraId="4D6C36DB" w14:textId="77777777" w:rsidR="00205A56" w:rsidRDefault="00205A56" w:rsidP="00205A56">
      <w:pPr>
        <w:jc w:val="center"/>
        <w:rPr>
          <w:rFonts w:cs="Times New Roman"/>
          <w:b/>
          <w:sz w:val="21"/>
          <w:szCs w:val="21"/>
        </w:rPr>
      </w:pPr>
    </w:p>
    <w:p w14:paraId="6330DD0F" w14:textId="0520A19A" w:rsidR="007139E2" w:rsidRDefault="007139E2" w:rsidP="007139E2">
      <w:pPr>
        <w:rPr>
          <w:sz w:val="21"/>
          <w:szCs w:val="21"/>
        </w:rPr>
      </w:pPr>
      <w:r>
        <w:rPr>
          <w:sz w:val="21"/>
          <w:szCs w:val="21"/>
        </w:rPr>
        <w:t>Over the years, appropriations (usually emergency supplemental appropriations) have been provided to address specific natural disasters (e.g., Hurricane Irene)</w:t>
      </w:r>
      <w:r w:rsidR="00E43803">
        <w:rPr>
          <w:sz w:val="21"/>
          <w:szCs w:val="21"/>
        </w:rPr>
        <w:t xml:space="preserve"> and emergencies</w:t>
      </w:r>
      <w:r>
        <w:rPr>
          <w:sz w:val="21"/>
          <w:szCs w:val="21"/>
        </w:rPr>
        <w:t>.  Once the funding has been provided, Congress and OMB leadership ha</w:t>
      </w:r>
      <w:r w:rsidR="00534490">
        <w:rPr>
          <w:sz w:val="21"/>
          <w:szCs w:val="21"/>
        </w:rPr>
        <w:t>ve</w:t>
      </w:r>
      <w:r>
        <w:rPr>
          <w:sz w:val="21"/>
          <w:szCs w:val="21"/>
        </w:rPr>
        <w:t xml:space="preserve"> repeatedly asked about the status of the funding -- how much is unobligated, obligated (but not </w:t>
      </w:r>
      <w:proofErr w:type="spellStart"/>
      <w:r>
        <w:rPr>
          <w:sz w:val="21"/>
          <w:szCs w:val="21"/>
        </w:rPr>
        <w:t>outlayed</w:t>
      </w:r>
      <w:proofErr w:type="spellEnd"/>
      <w:r>
        <w:rPr>
          <w:sz w:val="21"/>
          <w:szCs w:val="21"/>
        </w:rPr>
        <w:t xml:space="preserve">) and </w:t>
      </w:r>
      <w:proofErr w:type="spellStart"/>
      <w:r>
        <w:rPr>
          <w:sz w:val="21"/>
          <w:szCs w:val="21"/>
        </w:rPr>
        <w:t>outlayed</w:t>
      </w:r>
      <w:proofErr w:type="spellEnd"/>
      <w:r>
        <w:rPr>
          <w:sz w:val="21"/>
          <w:szCs w:val="21"/>
        </w:rPr>
        <w:t xml:space="preserve">.  To respond, OMB frequently makes ad hoc requests to the agencies for information. This process is time consuming and labor intensive.  Additionally, the information is not edit checked against what agencies have reported </w:t>
      </w:r>
      <w:r w:rsidR="00534490">
        <w:rPr>
          <w:sz w:val="21"/>
          <w:szCs w:val="21"/>
        </w:rPr>
        <w:t>via</w:t>
      </w:r>
      <w:r>
        <w:rPr>
          <w:sz w:val="21"/>
          <w:szCs w:val="21"/>
        </w:rPr>
        <w:t xml:space="preserve"> </w:t>
      </w:r>
      <w:proofErr w:type="spellStart"/>
      <w:r>
        <w:rPr>
          <w:sz w:val="21"/>
          <w:szCs w:val="21"/>
        </w:rPr>
        <w:t>GTAS</w:t>
      </w:r>
      <w:proofErr w:type="spellEnd"/>
      <w:r>
        <w:rPr>
          <w:sz w:val="21"/>
          <w:szCs w:val="21"/>
        </w:rPr>
        <w:t xml:space="preserve"> (which is used for other budgetary reports such as the Budget Program and Financing Schedule (Schedule P) in the President’s Budget Appendix and SF 133).</w:t>
      </w:r>
    </w:p>
    <w:p w14:paraId="41616F0E" w14:textId="67CC22AD" w:rsidR="00B9509C" w:rsidRDefault="0007179E" w:rsidP="00B9509C">
      <w:pPr>
        <w:rPr>
          <w:rFonts w:cs="Times New Roman"/>
          <w:sz w:val="21"/>
          <w:szCs w:val="21"/>
        </w:rPr>
      </w:pPr>
      <w:r>
        <w:rPr>
          <w:rFonts w:cs="Times New Roman"/>
          <w:sz w:val="21"/>
          <w:szCs w:val="21"/>
        </w:rPr>
        <w:t xml:space="preserve">To address this challenge, </w:t>
      </w:r>
      <w:r w:rsidR="00B9509C">
        <w:rPr>
          <w:rFonts w:cs="Times New Roman"/>
          <w:sz w:val="21"/>
          <w:szCs w:val="21"/>
        </w:rPr>
        <w:t>Treasury and OMB have identified the need to collect up-to-d</w:t>
      </w:r>
      <w:r w:rsidR="00B769E3">
        <w:rPr>
          <w:rFonts w:cs="Times New Roman"/>
          <w:sz w:val="21"/>
          <w:szCs w:val="21"/>
        </w:rPr>
        <w:t>ate information about disaster emergency spending</w:t>
      </w:r>
      <w:r w:rsidR="00B9509C">
        <w:rPr>
          <w:rFonts w:cs="Times New Roman"/>
          <w:sz w:val="21"/>
          <w:szCs w:val="21"/>
        </w:rPr>
        <w:t>.  Treasury needs to provide Data Act reporting on actual spending.  OMB needs to provide data on the status of funding, including the original budget authority, obligations incurred, unobligated balances (</w:t>
      </w:r>
      <w:r w:rsidR="00D268CA">
        <w:rPr>
          <w:rFonts w:cs="Times New Roman"/>
          <w:sz w:val="21"/>
          <w:szCs w:val="21"/>
        </w:rPr>
        <w:t>beginning and ending</w:t>
      </w:r>
      <w:r w:rsidR="00B9509C">
        <w:rPr>
          <w:rFonts w:cs="Times New Roman"/>
          <w:sz w:val="21"/>
          <w:szCs w:val="21"/>
        </w:rPr>
        <w:t>), budgetary resources (including recoveries of prior year obligations), unpaid obligated balances (</w:t>
      </w:r>
      <w:r w:rsidR="00D268CA">
        <w:rPr>
          <w:rFonts w:cs="Times New Roman"/>
          <w:sz w:val="21"/>
          <w:szCs w:val="21"/>
        </w:rPr>
        <w:t>beginning and ending</w:t>
      </w:r>
      <w:r w:rsidR="00B9509C">
        <w:rPr>
          <w:rFonts w:cs="Times New Roman"/>
          <w:sz w:val="21"/>
          <w:szCs w:val="21"/>
        </w:rPr>
        <w:t>), and outla</w:t>
      </w:r>
      <w:r w:rsidR="00E43803">
        <w:rPr>
          <w:rFonts w:cs="Times New Roman"/>
          <w:sz w:val="21"/>
          <w:szCs w:val="21"/>
        </w:rPr>
        <w:t xml:space="preserve">ys.  The following </w:t>
      </w:r>
      <w:r w:rsidR="003C1303">
        <w:rPr>
          <w:rFonts w:cs="Times New Roman"/>
          <w:sz w:val="21"/>
          <w:szCs w:val="21"/>
        </w:rPr>
        <w:t xml:space="preserve">paper provides </w:t>
      </w:r>
      <w:r w:rsidR="00205A56">
        <w:rPr>
          <w:rFonts w:cs="Times New Roman"/>
          <w:sz w:val="21"/>
          <w:szCs w:val="21"/>
        </w:rPr>
        <w:t xml:space="preserve">the best </w:t>
      </w:r>
      <w:r w:rsidR="00E43803">
        <w:rPr>
          <w:rFonts w:cs="Times New Roman"/>
          <w:sz w:val="21"/>
          <w:szCs w:val="21"/>
        </w:rPr>
        <w:t>solution</w:t>
      </w:r>
      <w:r w:rsidR="00205A56">
        <w:rPr>
          <w:rFonts w:cs="Times New Roman"/>
          <w:sz w:val="21"/>
          <w:szCs w:val="21"/>
        </w:rPr>
        <w:t xml:space="preserve"> to </w:t>
      </w:r>
      <w:r w:rsidR="003C1303">
        <w:rPr>
          <w:rFonts w:cs="Times New Roman"/>
          <w:sz w:val="21"/>
          <w:szCs w:val="21"/>
        </w:rPr>
        <w:t>meet the</w:t>
      </w:r>
      <w:r w:rsidR="00B9509C">
        <w:rPr>
          <w:rFonts w:cs="Times New Roman"/>
          <w:sz w:val="21"/>
          <w:szCs w:val="21"/>
        </w:rPr>
        <w:t xml:space="preserve"> data needs</w:t>
      </w:r>
      <w:r w:rsidR="003C1303">
        <w:rPr>
          <w:rFonts w:cs="Times New Roman"/>
          <w:sz w:val="21"/>
          <w:szCs w:val="21"/>
        </w:rPr>
        <w:t xml:space="preserve"> of BOTH Treasury and OMB.</w:t>
      </w:r>
    </w:p>
    <w:p w14:paraId="5ED85386" w14:textId="77777777" w:rsidR="0047790F" w:rsidRPr="00301412" w:rsidRDefault="0047790F" w:rsidP="0047790F">
      <w:pPr>
        <w:pStyle w:val="ListParagraph"/>
        <w:rPr>
          <w:rFonts w:cs="Times New Roman"/>
          <w:b/>
          <w:sz w:val="21"/>
          <w:szCs w:val="21"/>
        </w:rPr>
      </w:pPr>
    </w:p>
    <w:p w14:paraId="2FAB36C6" w14:textId="77777777" w:rsidR="0047790F" w:rsidRPr="00301412" w:rsidRDefault="0047790F" w:rsidP="0047790F">
      <w:pPr>
        <w:pStyle w:val="ListParagraph"/>
        <w:rPr>
          <w:rFonts w:cs="Times New Roman"/>
          <w:sz w:val="21"/>
          <w:szCs w:val="21"/>
        </w:rPr>
      </w:pPr>
    </w:p>
    <w:p w14:paraId="5D1E850A" w14:textId="77777777" w:rsidR="0047790F" w:rsidRPr="00301412" w:rsidRDefault="0047790F">
      <w:pPr>
        <w:rPr>
          <w:rFonts w:cs="Times New Roman"/>
          <w:b/>
          <w:sz w:val="21"/>
          <w:szCs w:val="21"/>
        </w:rPr>
      </w:pPr>
    </w:p>
    <w:p w14:paraId="1E4713E4" w14:textId="77777777" w:rsidR="0047790F" w:rsidRPr="00301412" w:rsidRDefault="0047790F">
      <w:pPr>
        <w:rPr>
          <w:rFonts w:cs="Times New Roman"/>
          <w:b/>
          <w:sz w:val="21"/>
          <w:szCs w:val="21"/>
        </w:rPr>
      </w:pPr>
    </w:p>
    <w:p w14:paraId="27D2CD66" w14:textId="77777777" w:rsidR="0047790F" w:rsidRPr="00301412" w:rsidRDefault="0047790F">
      <w:pPr>
        <w:rPr>
          <w:rFonts w:cs="Times New Roman"/>
          <w:b/>
          <w:sz w:val="21"/>
          <w:szCs w:val="21"/>
        </w:rPr>
      </w:pPr>
    </w:p>
    <w:p w14:paraId="761503C2" w14:textId="77777777" w:rsidR="0047790F" w:rsidRPr="00301412" w:rsidRDefault="0047790F">
      <w:pPr>
        <w:rPr>
          <w:rFonts w:cs="Times New Roman"/>
          <w:b/>
          <w:sz w:val="21"/>
          <w:szCs w:val="21"/>
        </w:rPr>
      </w:pPr>
      <w:r w:rsidRPr="00301412">
        <w:rPr>
          <w:rFonts w:cs="Times New Roman"/>
          <w:b/>
          <w:sz w:val="21"/>
          <w:szCs w:val="21"/>
        </w:rPr>
        <w:br w:type="page"/>
      </w:r>
    </w:p>
    <w:bookmarkEnd w:id="0"/>
    <w:p w14:paraId="1D9EF20E" w14:textId="1C209146" w:rsidR="00475694" w:rsidRPr="00E42AD0" w:rsidRDefault="00C61F6F" w:rsidP="00475694">
      <w:pPr>
        <w:jc w:val="center"/>
        <w:rPr>
          <w:b/>
          <w:sz w:val="21"/>
          <w:szCs w:val="21"/>
        </w:rPr>
      </w:pPr>
      <w:r>
        <w:rPr>
          <w:b/>
          <w:sz w:val="21"/>
          <w:szCs w:val="21"/>
        </w:rPr>
        <w:lastRenderedPageBreak/>
        <w:t xml:space="preserve">Leverage Existing </w:t>
      </w:r>
      <w:proofErr w:type="spellStart"/>
      <w:r>
        <w:rPr>
          <w:b/>
          <w:sz w:val="21"/>
          <w:szCs w:val="21"/>
        </w:rPr>
        <w:t>GTAS</w:t>
      </w:r>
      <w:proofErr w:type="spellEnd"/>
      <w:r>
        <w:rPr>
          <w:b/>
          <w:sz w:val="21"/>
          <w:szCs w:val="21"/>
        </w:rPr>
        <w:t xml:space="preserve"> A</w:t>
      </w:r>
      <w:r w:rsidR="00475694" w:rsidRPr="00E42AD0">
        <w:rPr>
          <w:b/>
          <w:sz w:val="21"/>
          <w:szCs w:val="21"/>
        </w:rPr>
        <w:t xml:space="preserve">ttribute </w:t>
      </w:r>
    </w:p>
    <w:p w14:paraId="13256BA2" w14:textId="77777777" w:rsidR="00475694" w:rsidRPr="00E42AD0" w:rsidRDefault="00475694" w:rsidP="00475694">
      <w:pPr>
        <w:ind w:left="1440" w:hanging="1440"/>
        <w:rPr>
          <w:b/>
          <w:sz w:val="21"/>
          <w:szCs w:val="21"/>
          <w:u w:val="single"/>
        </w:rPr>
      </w:pPr>
    </w:p>
    <w:p w14:paraId="53FD83C8" w14:textId="458F81CE" w:rsidR="00595F23" w:rsidRPr="00E42AD0" w:rsidRDefault="00D9412A" w:rsidP="00595F23">
      <w:pPr>
        <w:ind w:left="2160" w:hanging="2160"/>
        <w:rPr>
          <w:sz w:val="21"/>
          <w:szCs w:val="21"/>
        </w:rPr>
      </w:pPr>
      <w:r>
        <w:rPr>
          <w:b/>
          <w:sz w:val="21"/>
          <w:szCs w:val="21"/>
          <w:u w:val="single"/>
        </w:rPr>
        <w:t>Recommendation</w:t>
      </w:r>
      <w:r w:rsidR="00595F23" w:rsidRPr="00E42AD0">
        <w:rPr>
          <w:sz w:val="21"/>
          <w:szCs w:val="21"/>
        </w:rPr>
        <w:t>:</w:t>
      </w:r>
      <w:r w:rsidR="00595F23" w:rsidRPr="00E42AD0">
        <w:rPr>
          <w:sz w:val="21"/>
          <w:szCs w:val="21"/>
        </w:rPr>
        <w:tab/>
        <w:t xml:space="preserve">Leverage existing </w:t>
      </w:r>
      <w:proofErr w:type="spellStart"/>
      <w:r w:rsidR="00595F23" w:rsidRPr="00E42AD0">
        <w:rPr>
          <w:sz w:val="21"/>
          <w:szCs w:val="21"/>
        </w:rPr>
        <w:t>GTAS</w:t>
      </w:r>
      <w:proofErr w:type="spellEnd"/>
      <w:r w:rsidR="00595F23" w:rsidRPr="00E42AD0">
        <w:rPr>
          <w:sz w:val="21"/>
          <w:szCs w:val="21"/>
        </w:rPr>
        <w:t xml:space="preserve"> data attribute and establish reporting mechanisms to track di</w:t>
      </w:r>
      <w:r w:rsidR="0004451C" w:rsidRPr="00E42AD0">
        <w:rPr>
          <w:sz w:val="21"/>
          <w:szCs w:val="21"/>
        </w:rPr>
        <w:t xml:space="preserve">saster </w:t>
      </w:r>
      <w:r w:rsidR="007008FC">
        <w:rPr>
          <w:sz w:val="21"/>
          <w:szCs w:val="21"/>
        </w:rPr>
        <w:t xml:space="preserve">and emergency </w:t>
      </w:r>
      <w:r w:rsidR="0004451C" w:rsidRPr="00E42AD0">
        <w:rPr>
          <w:sz w:val="21"/>
          <w:szCs w:val="21"/>
        </w:rPr>
        <w:t xml:space="preserve">funding government-wide.  </w:t>
      </w:r>
      <w:r w:rsidR="00595F23" w:rsidRPr="00E42AD0">
        <w:rPr>
          <w:sz w:val="21"/>
          <w:szCs w:val="21"/>
        </w:rPr>
        <w:t xml:space="preserve">Amend </w:t>
      </w:r>
      <w:proofErr w:type="spellStart"/>
      <w:r w:rsidR="00595F23" w:rsidRPr="00E42AD0">
        <w:rPr>
          <w:sz w:val="21"/>
          <w:szCs w:val="21"/>
        </w:rPr>
        <w:t>USSGL</w:t>
      </w:r>
      <w:proofErr w:type="spellEnd"/>
      <w:r w:rsidR="00595F23" w:rsidRPr="00E42AD0">
        <w:rPr>
          <w:sz w:val="21"/>
          <w:szCs w:val="21"/>
        </w:rPr>
        <w:t xml:space="preserve"> </w:t>
      </w:r>
      <w:proofErr w:type="spellStart"/>
      <w:r w:rsidR="00595F23" w:rsidRPr="00E42AD0">
        <w:rPr>
          <w:sz w:val="21"/>
          <w:szCs w:val="21"/>
        </w:rPr>
        <w:t>TFM</w:t>
      </w:r>
      <w:proofErr w:type="spellEnd"/>
      <w:r w:rsidR="00595F23" w:rsidRPr="00E42AD0">
        <w:rPr>
          <w:sz w:val="21"/>
          <w:szCs w:val="21"/>
        </w:rPr>
        <w:t xml:space="preserve"> Supplement and OMB Circular Guidance (where applicable).</w:t>
      </w:r>
    </w:p>
    <w:p w14:paraId="3FB57A81" w14:textId="0BA97E01" w:rsidR="00595F23" w:rsidRPr="00E42AD0" w:rsidRDefault="008D2FD5" w:rsidP="00595F23">
      <w:pPr>
        <w:rPr>
          <w:sz w:val="21"/>
          <w:szCs w:val="21"/>
        </w:rPr>
      </w:pPr>
      <w:r>
        <w:rPr>
          <w:sz w:val="21"/>
          <w:szCs w:val="21"/>
        </w:rPr>
        <w:t xml:space="preserve">Repurpose </w:t>
      </w:r>
      <w:r w:rsidR="00595F23" w:rsidRPr="00E42AD0">
        <w:rPr>
          <w:sz w:val="21"/>
          <w:szCs w:val="21"/>
        </w:rPr>
        <w:t xml:space="preserve">the existing </w:t>
      </w:r>
      <w:proofErr w:type="spellStart"/>
      <w:r w:rsidR="00595F23" w:rsidRPr="00E42AD0">
        <w:rPr>
          <w:sz w:val="21"/>
          <w:szCs w:val="21"/>
        </w:rPr>
        <w:t>GTAS</w:t>
      </w:r>
      <w:proofErr w:type="spellEnd"/>
      <w:r w:rsidR="00595F23" w:rsidRPr="00E42AD0">
        <w:rPr>
          <w:sz w:val="21"/>
          <w:szCs w:val="21"/>
        </w:rPr>
        <w:t xml:space="preserve"> Attribute “Program Indi</w:t>
      </w:r>
      <w:r w:rsidR="007008FC">
        <w:rPr>
          <w:sz w:val="21"/>
          <w:szCs w:val="21"/>
        </w:rPr>
        <w:t xml:space="preserve">cator” to track disaster and emergency relief </w:t>
      </w:r>
      <w:r w:rsidR="00595F23" w:rsidRPr="00E42AD0">
        <w:rPr>
          <w:sz w:val="21"/>
          <w:szCs w:val="21"/>
        </w:rPr>
        <w:t>budgetary resources and spending.</w:t>
      </w:r>
    </w:p>
    <w:p w14:paraId="30298174" w14:textId="41A93C70" w:rsidR="00595F23" w:rsidRPr="00E42AD0" w:rsidRDefault="00595F23" w:rsidP="00595F23">
      <w:pPr>
        <w:rPr>
          <w:sz w:val="21"/>
          <w:szCs w:val="21"/>
        </w:rPr>
      </w:pPr>
      <w:r w:rsidRPr="00E42AD0">
        <w:rPr>
          <w:sz w:val="21"/>
          <w:szCs w:val="21"/>
        </w:rPr>
        <w:t xml:space="preserve">Currently, the </w:t>
      </w:r>
      <w:r w:rsidR="0004451C" w:rsidRPr="00E42AD0">
        <w:rPr>
          <w:sz w:val="21"/>
          <w:szCs w:val="21"/>
        </w:rPr>
        <w:t>attribute is used only for the a</w:t>
      </w:r>
      <w:r w:rsidRPr="00E42AD0">
        <w:rPr>
          <w:sz w:val="21"/>
          <w:szCs w:val="21"/>
        </w:rPr>
        <w:t>gencies</w:t>
      </w:r>
      <w:r w:rsidR="0004451C" w:rsidRPr="00E42AD0">
        <w:rPr>
          <w:sz w:val="21"/>
          <w:szCs w:val="21"/>
        </w:rPr>
        <w:t xml:space="preserve">’ </w:t>
      </w:r>
      <w:proofErr w:type="spellStart"/>
      <w:r w:rsidR="007334B4">
        <w:rPr>
          <w:sz w:val="21"/>
          <w:szCs w:val="21"/>
        </w:rPr>
        <w:t>GTAS</w:t>
      </w:r>
      <w:proofErr w:type="spellEnd"/>
      <w:r w:rsidR="007334B4">
        <w:rPr>
          <w:sz w:val="21"/>
          <w:szCs w:val="21"/>
        </w:rPr>
        <w:t xml:space="preserve"> submissions to comply with </w:t>
      </w:r>
      <w:proofErr w:type="spellStart"/>
      <w:r w:rsidR="007334B4">
        <w:rPr>
          <w:sz w:val="21"/>
          <w:szCs w:val="21"/>
        </w:rPr>
        <w:t>USSGL</w:t>
      </w:r>
      <w:proofErr w:type="spellEnd"/>
      <w:r w:rsidR="007334B4">
        <w:rPr>
          <w:sz w:val="21"/>
          <w:szCs w:val="21"/>
        </w:rPr>
        <w:t xml:space="preserve"> </w:t>
      </w:r>
      <w:proofErr w:type="spellStart"/>
      <w:r w:rsidR="007334B4">
        <w:rPr>
          <w:sz w:val="21"/>
          <w:szCs w:val="21"/>
        </w:rPr>
        <w:t>TFM</w:t>
      </w:r>
      <w:proofErr w:type="spellEnd"/>
      <w:r w:rsidR="007334B4">
        <w:rPr>
          <w:sz w:val="21"/>
          <w:szCs w:val="21"/>
        </w:rPr>
        <w:t xml:space="preserve"> Supplement guidance</w:t>
      </w:r>
      <w:r w:rsidR="00146B72">
        <w:rPr>
          <w:sz w:val="21"/>
          <w:szCs w:val="21"/>
        </w:rPr>
        <w:t xml:space="preserve">.  </w:t>
      </w:r>
      <w:r w:rsidRPr="00E42AD0">
        <w:rPr>
          <w:sz w:val="21"/>
          <w:szCs w:val="21"/>
        </w:rPr>
        <w:t xml:space="preserve">It </w:t>
      </w:r>
      <w:r w:rsidR="003B53C6">
        <w:rPr>
          <w:sz w:val="21"/>
          <w:szCs w:val="21"/>
        </w:rPr>
        <w:t>was intended to be used by</w:t>
      </w:r>
      <w:r w:rsidRPr="00E42AD0">
        <w:rPr>
          <w:sz w:val="21"/>
          <w:szCs w:val="21"/>
        </w:rPr>
        <w:t xml:space="preserve"> agencies</w:t>
      </w:r>
      <w:r w:rsidR="003B53C6">
        <w:rPr>
          <w:sz w:val="21"/>
          <w:szCs w:val="21"/>
        </w:rPr>
        <w:t xml:space="preserve"> to</w:t>
      </w:r>
      <w:r w:rsidRPr="00E42AD0">
        <w:rPr>
          <w:sz w:val="21"/>
          <w:szCs w:val="21"/>
        </w:rPr>
        <w:t xml:space="preserve"> separate various costs associated with programs (“P”), and they also have costs that are not directly associated with a program (“Q”). So this attribute was used to split </w:t>
      </w:r>
      <w:proofErr w:type="spellStart"/>
      <w:r w:rsidRPr="00E42AD0">
        <w:rPr>
          <w:sz w:val="21"/>
          <w:szCs w:val="21"/>
        </w:rPr>
        <w:t>USSGL</w:t>
      </w:r>
      <w:proofErr w:type="spellEnd"/>
      <w:r w:rsidRPr="00E42AD0">
        <w:rPr>
          <w:sz w:val="21"/>
          <w:szCs w:val="21"/>
        </w:rPr>
        <w:t xml:space="preserve"> accounts, such as 640000 "Benefit Expense" to a Program.</w:t>
      </w:r>
      <w:r w:rsidR="00D72CF3">
        <w:rPr>
          <w:sz w:val="21"/>
          <w:szCs w:val="21"/>
        </w:rPr>
        <w:t xml:space="preserve"> In the recommendation</w:t>
      </w:r>
      <w:r w:rsidR="007334B4">
        <w:rPr>
          <w:sz w:val="21"/>
          <w:szCs w:val="21"/>
        </w:rPr>
        <w:t xml:space="preserve"> below the current attribute would no longer be required for proprietary </w:t>
      </w:r>
      <w:proofErr w:type="spellStart"/>
      <w:r w:rsidR="007334B4">
        <w:rPr>
          <w:sz w:val="21"/>
          <w:szCs w:val="21"/>
        </w:rPr>
        <w:t>USSGL</w:t>
      </w:r>
      <w:proofErr w:type="spellEnd"/>
      <w:r w:rsidR="007334B4">
        <w:rPr>
          <w:sz w:val="21"/>
          <w:szCs w:val="21"/>
        </w:rPr>
        <w:t xml:space="preserve"> accounts</w:t>
      </w:r>
      <w:r w:rsidR="008D2FD5">
        <w:rPr>
          <w:sz w:val="21"/>
          <w:szCs w:val="21"/>
        </w:rPr>
        <w:t>,</w:t>
      </w:r>
      <w:r w:rsidR="007334B4">
        <w:rPr>
          <w:sz w:val="21"/>
          <w:szCs w:val="21"/>
        </w:rPr>
        <w:t xml:space="preserve"> or be an attribute included on the Statement of Net Cost crosswalk.</w:t>
      </w:r>
    </w:p>
    <w:p w14:paraId="0DA15185" w14:textId="39B078B1" w:rsidR="00761A53" w:rsidRPr="00E42AD0" w:rsidRDefault="00D72CF3" w:rsidP="00595F23">
      <w:pPr>
        <w:rPr>
          <w:sz w:val="21"/>
          <w:szCs w:val="21"/>
        </w:rPr>
      </w:pPr>
      <w:r>
        <w:rPr>
          <w:sz w:val="21"/>
          <w:szCs w:val="21"/>
        </w:rPr>
        <w:t>In this recommendation</w:t>
      </w:r>
      <w:r w:rsidR="00595F23" w:rsidRPr="00E42AD0">
        <w:rPr>
          <w:sz w:val="21"/>
          <w:szCs w:val="21"/>
        </w:rPr>
        <w:t xml:space="preserve">, </w:t>
      </w:r>
      <w:r w:rsidR="008D2FD5">
        <w:rPr>
          <w:sz w:val="21"/>
          <w:szCs w:val="21"/>
        </w:rPr>
        <w:t>the “</w:t>
      </w:r>
      <w:r w:rsidR="00654BB0">
        <w:rPr>
          <w:sz w:val="21"/>
          <w:szCs w:val="21"/>
        </w:rPr>
        <w:t>Program Indicator</w:t>
      </w:r>
      <w:r w:rsidR="008D2FD5">
        <w:rPr>
          <w:sz w:val="21"/>
          <w:szCs w:val="21"/>
        </w:rPr>
        <w:t>” would now be called the “Disaster Emergency Fund Code</w:t>
      </w:r>
      <w:r>
        <w:rPr>
          <w:sz w:val="21"/>
          <w:szCs w:val="21"/>
        </w:rPr>
        <w:t xml:space="preserve"> (</w:t>
      </w:r>
      <w:proofErr w:type="spellStart"/>
      <w:r>
        <w:rPr>
          <w:sz w:val="21"/>
          <w:szCs w:val="21"/>
        </w:rPr>
        <w:t>DEFC</w:t>
      </w:r>
      <w:proofErr w:type="spellEnd"/>
      <w:r>
        <w:rPr>
          <w:sz w:val="21"/>
          <w:szCs w:val="21"/>
        </w:rPr>
        <w:t>)</w:t>
      </w:r>
      <w:r w:rsidR="008D2FD5">
        <w:rPr>
          <w:sz w:val="21"/>
          <w:szCs w:val="21"/>
        </w:rPr>
        <w:t xml:space="preserve">” and </w:t>
      </w:r>
      <w:r w:rsidR="00595F23" w:rsidRPr="00E42AD0">
        <w:rPr>
          <w:sz w:val="21"/>
          <w:szCs w:val="21"/>
        </w:rPr>
        <w:t xml:space="preserve">a set of domain values (A thru Z) would be set aside for OMB use to track </w:t>
      </w:r>
      <w:r w:rsidR="0004451C" w:rsidRPr="00E42AD0">
        <w:rPr>
          <w:sz w:val="21"/>
          <w:szCs w:val="21"/>
        </w:rPr>
        <w:t xml:space="preserve">any funding classified as disaster or </w:t>
      </w:r>
      <w:r w:rsidR="00595F23" w:rsidRPr="00E42AD0">
        <w:rPr>
          <w:sz w:val="21"/>
          <w:szCs w:val="21"/>
        </w:rPr>
        <w:t xml:space="preserve">emergency at a detailed level. </w:t>
      </w:r>
      <w:r w:rsidR="0004451C" w:rsidRPr="00E42AD0">
        <w:rPr>
          <w:sz w:val="21"/>
          <w:szCs w:val="21"/>
        </w:rPr>
        <w:t xml:space="preserve"> </w:t>
      </w:r>
      <w:r w:rsidR="00595F23" w:rsidRPr="00E42AD0">
        <w:rPr>
          <w:sz w:val="21"/>
          <w:szCs w:val="21"/>
        </w:rPr>
        <w:t xml:space="preserve">For </w:t>
      </w:r>
      <w:proofErr w:type="spellStart"/>
      <w:r w:rsidR="0004451C" w:rsidRPr="00E42AD0">
        <w:rPr>
          <w:sz w:val="21"/>
          <w:szCs w:val="21"/>
        </w:rPr>
        <w:t>GTAS</w:t>
      </w:r>
      <w:proofErr w:type="spellEnd"/>
      <w:r w:rsidR="0004451C" w:rsidRPr="00E42AD0">
        <w:rPr>
          <w:sz w:val="21"/>
          <w:szCs w:val="21"/>
        </w:rPr>
        <w:t xml:space="preserve"> </w:t>
      </w:r>
      <w:r w:rsidR="00595F23" w:rsidRPr="00E42AD0">
        <w:rPr>
          <w:sz w:val="21"/>
          <w:szCs w:val="21"/>
        </w:rPr>
        <w:t>reporting</w:t>
      </w:r>
      <w:r w:rsidR="0004451C" w:rsidRPr="00E42AD0">
        <w:rPr>
          <w:sz w:val="21"/>
          <w:szCs w:val="21"/>
        </w:rPr>
        <w:t xml:space="preserve"> purposes</w:t>
      </w:r>
      <w:r w:rsidR="00595F23" w:rsidRPr="00E42AD0">
        <w:rPr>
          <w:sz w:val="21"/>
          <w:szCs w:val="21"/>
        </w:rPr>
        <w:t xml:space="preserve">, </w:t>
      </w:r>
      <w:r w:rsidR="0004451C" w:rsidRPr="00E42AD0">
        <w:rPr>
          <w:sz w:val="21"/>
          <w:szCs w:val="21"/>
        </w:rPr>
        <w:t xml:space="preserve">the attribute default domain value for all funding not classified as disaster or emergency will be “Q.”  </w:t>
      </w:r>
      <w:r w:rsidR="00ED0322" w:rsidRPr="00E42AD0">
        <w:rPr>
          <w:sz w:val="21"/>
          <w:szCs w:val="21"/>
        </w:rPr>
        <w:t xml:space="preserve">Once OMB would identify specific funding to be classified as disaster or emergency, agencies would separately identify the disaster or emergency with the attribute domain value for that specific disaster or emergency in conjunction with the appropriate budgetary </w:t>
      </w:r>
      <w:proofErr w:type="spellStart"/>
      <w:r w:rsidR="00ED0322" w:rsidRPr="00E42AD0">
        <w:rPr>
          <w:sz w:val="21"/>
          <w:szCs w:val="21"/>
        </w:rPr>
        <w:t>USSGL</w:t>
      </w:r>
      <w:proofErr w:type="spellEnd"/>
      <w:r w:rsidR="00ED0322" w:rsidRPr="00E42AD0">
        <w:rPr>
          <w:sz w:val="21"/>
          <w:szCs w:val="21"/>
        </w:rPr>
        <w:t xml:space="preserve">.  </w:t>
      </w:r>
      <w:r w:rsidR="00ED0322">
        <w:rPr>
          <w:sz w:val="21"/>
          <w:szCs w:val="21"/>
        </w:rPr>
        <w:t xml:space="preserve">To allow Treasury flexibility in the timing of the </w:t>
      </w:r>
      <w:proofErr w:type="spellStart"/>
      <w:r w:rsidR="00ED0322">
        <w:rPr>
          <w:sz w:val="21"/>
          <w:szCs w:val="21"/>
        </w:rPr>
        <w:t>USSGL</w:t>
      </w:r>
      <w:proofErr w:type="spellEnd"/>
      <w:r w:rsidR="00ED0322">
        <w:rPr>
          <w:sz w:val="21"/>
          <w:szCs w:val="21"/>
        </w:rPr>
        <w:t xml:space="preserve"> </w:t>
      </w:r>
      <w:proofErr w:type="spellStart"/>
      <w:r w:rsidR="00ED0322">
        <w:rPr>
          <w:sz w:val="21"/>
          <w:szCs w:val="21"/>
        </w:rPr>
        <w:t>TFM</w:t>
      </w:r>
      <w:proofErr w:type="spellEnd"/>
      <w:r w:rsidR="00ED0322">
        <w:rPr>
          <w:sz w:val="21"/>
          <w:szCs w:val="21"/>
        </w:rPr>
        <w:t xml:space="preserve"> Supplement publication, Treasury would identify </w:t>
      </w:r>
      <w:r w:rsidR="00627FF2">
        <w:rPr>
          <w:sz w:val="21"/>
          <w:szCs w:val="21"/>
        </w:rPr>
        <w:t xml:space="preserve">a limited number of </w:t>
      </w:r>
      <w:proofErr w:type="spellStart"/>
      <w:r>
        <w:rPr>
          <w:sz w:val="21"/>
          <w:szCs w:val="21"/>
        </w:rPr>
        <w:t>DEFC</w:t>
      </w:r>
      <w:proofErr w:type="spellEnd"/>
      <w:r w:rsidR="00ED0322">
        <w:rPr>
          <w:sz w:val="21"/>
          <w:szCs w:val="21"/>
        </w:rPr>
        <w:t xml:space="preserve"> domain values on the </w:t>
      </w:r>
      <w:proofErr w:type="spellStart"/>
      <w:r w:rsidR="00ED0322">
        <w:rPr>
          <w:sz w:val="21"/>
          <w:szCs w:val="21"/>
        </w:rPr>
        <w:t>USSGL</w:t>
      </w:r>
      <w:proofErr w:type="spellEnd"/>
      <w:r w:rsidR="00ED0322">
        <w:rPr>
          <w:sz w:val="21"/>
          <w:szCs w:val="21"/>
        </w:rPr>
        <w:t xml:space="preserve"> Attribute Table while identifying those same domain values on the </w:t>
      </w:r>
      <w:proofErr w:type="spellStart"/>
      <w:r w:rsidR="00ED0322" w:rsidRPr="00ED0322">
        <w:rPr>
          <w:sz w:val="21"/>
          <w:szCs w:val="21"/>
        </w:rPr>
        <w:t>USSGL</w:t>
      </w:r>
      <w:proofErr w:type="spellEnd"/>
      <w:r w:rsidR="00ED0322" w:rsidRPr="00ED0322">
        <w:rPr>
          <w:sz w:val="21"/>
          <w:szCs w:val="21"/>
        </w:rPr>
        <w:t xml:space="preserve"> Account Attribute Definition Report</w:t>
      </w:r>
      <w:r w:rsidR="00ED0322">
        <w:rPr>
          <w:sz w:val="21"/>
          <w:szCs w:val="21"/>
        </w:rPr>
        <w:t xml:space="preserve"> with generic titles.   When funding has been enacted and classified as disaster or emergency, OMB would issue guidance</w:t>
      </w:r>
      <w:r w:rsidR="00627FF2">
        <w:rPr>
          <w:sz w:val="21"/>
          <w:szCs w:val="21"/>
        </w:rPr>
        <w:t xml:space="preserve">, which will be considered the </w:t>
      </w:r>
      <w:r w:rsidR="00627FF2" w:rsidRPr="00E42AD0">
        <w:rPr>
          <w:sz w:val="21"/>
          <w:szCs w:val="21"/>
        </w:rPr>
        <w:t>authoritative source defining the domain values</w:t>
      </w:r>
      <w:r w:rsidR="00627FF2">
        <w:rPr>
          <w:sz w:val="21"/>
          <w:szCs w:val="21"/>
        </w:rPr>
        <w:t>,</w:t>
      </w:r>
      <w:r w:rsidR="00ED0322">
        <w:rPr>
          <w:sz w:val="21"/>
          <w:szCs w:val="21"/>
        </w:rPr>
        <w:t xml:space="preserve"> identifying a </w:t>
      </w:r>
      <w:r w:rsidR="00654BB0">
        <w:rPr>
          <w:sz w:val="21"/>
          <w:szCs w:val="21"/>
        </w:rPr>
        <w:t>Disaster Emergency Fund Code</w:t>
      </w:r>
      <w:r w:rsidR="00ED0322">
        <w:rPr>
          <w:sz w:val="21"/>
          <w:szCs w:val="21"/>
        </w:rPr>
        <w:t xml:space="preserve"> domain value with an amended title </w:t>
      </w:r>
      <w:r w:rsidR="00627FF2">
        <w:rPr>
          <w:sz w:val="21"/>
          <w:szCs w:val="21"/>
        </w:rPr>
        <w:t xml:space="preserve">(e.g., Disaster – Hurricane Irma) </w:t>
      </w:r>
      <w:r w:rsidR="00ED0322">
        <w:rPr>
          <w:sz w:val="21"/>
          <w:szCs w:val="21"/>
        </w:rPr>
        <w:t>replacing the generic attribute domain value title</w:t>
      </w:r>
      <w:r w:rsidR="00627FF2">
        <w:rPr>
          <w:sz w:val="21"/>
          <w:szCs w:val="21"/>
        </w:rPr>
        <w:t xml:space="preserve"> (e.g., Disaster/Emergency Item 1)</w:t>
      </w:r>
      <w:r w:rsidR="00ED0322">
        <w:rPr>
          <w:sz w:val="21"/>
          <w:szCs w:val="21"/>
        </w:rPr>
        <w:t xml:space="preserve">.  </w:t>
      </w:r>
      <w:r w:rsidR="00627FF2">
        <w:rPr>
          <w:sz w:val="21"/>
          <w:szCs w:val="21"/>
        </w:rPr>
        <w:t xml:space="preserve">Once the amended </w:t>
      </w:r>
      <w:proofErr w:type="spellStart"/>
      <w:r>
        <w:rPr>
          <w:sz w:val="21"/>
          <w:szCs w:val="21"/>
        </w:rPr>
        <w:t>DEFC</w:t>
      </w:r>
      <w:proofErr w:type="spellEnd"/>
      <w:r w:rsidR="00627FF2">
        <w:rPr>
          <w:sz w:val="21"/>
          <w:szCs w:val="21"/>
        </w:rPr>
        <w:t xml:space="preserve"> domain value titles have been identified, Treasury will update the </w:t>
      </w:r>
      <w:proofErr w:type="spellStart"/>
      <w:r w:rsidR="00627FF2">
        <w:rPr>
          <w:sz w:val="21"/>
          <w:szCs w:val="21"/>
        </w:rPr>
        <w:t>USSGL</w:t>
      </w:r>
      <w:proofErr w:type="spellEnd"/>
      <w:r w:rsidR="00627FF2">
        <w:rPr>
          <w:sz w:val="21"/>
          <w:szCs w:val="21"/>
        </w:rPr>
        <w:t xml:space="preserve"> </w:t>
      </w:r>
      <w:proofErr w:type="spellStart"/>
      <w:r w:rsidR="00627FF2">
        <w:rPr>
          <w:sz w:val="21"/>
          <w:szCs w:val="21"/>
        </w:rPr>
        <w:t>TFM</w:t>
      </w:r>
      <w:proofErr w:type="spellEnd"/>
      <w:r w:rsidR="00627FF2">
        <w:rPr>
          <w:sz w:val="21"/>
          <w:szCs w:val="21"/>
        </w:rPr>
        <w:t xml:space="preserve"> Supplement.  </w:t>
      </w:r>
      <w:r>
        <w:rPr>
          <w:sz w:val="21"/>
          <w:szCs w:val="21"/>
        </w:rPr>
        <w:t>Under this recommendation</w:t>
      </w:r>
      <w:r w:rsidR="00761A53" w:rsidRPr="00E42AD0">
        <w:rPr>
          <w:sz w:val="21"/>
          <w:szCs w:val="21"/>
        </w:rPr>
        <w:t xml:space="preserve">, </w:t>
      </w:r>
      <w:r w:rsidR="00595F23" w:rsidRPr="00E42AD0">
        <w:rPr>
          <w:sz w:val="21"/>
          <w:szCs w:val="21"/>
        </w:rPr>
        <w:t xml:space="preserve">OMB would </w:t>
      </w:r>
      <w:r w:rsidR="00761A53" w:rsidRPr="00E42AD0">
        <w:rPr>
          <w:sz w:val="21"/>
          <w:szCs w:val="21"/>
        </w:rPr>
        <w:t>not be required to</w:t>
      </w:r>
      <w:r w:rsidR="00595F23" w:rsidRPr="00E42AD0">
        <w:rPr>
          <w:sz w:val="21"/>
          <w:szCs w:val="21"/>
        </w:rPr>
        <w:t xml:space="preserve"> </w:t>
      </w:r>
      <w:r w:rsidR="00761A53" w:rsidRPr="00E42AD0">
        <w:rPr>
          <w:sz w:val="21"/>
          <w:szCs w:val="21"/>
        </w:rPr>
        <w:t xml:space="preserve">modify the </w:t>
      </w:r>
      <w:proofErr w:type="spellStart"/>
      <w:r w:rsidR="00761A53" w:rsidRPr="00E42AD0">
        <w:rPr>
          <w:sz w:val="21"/>
          <w:szCs w:val="21"/>
        </w:rPr>
        <w:t>USSGL</w:t>
      </w:r>
      <w:proofErr w:type="spellEnd"/>
      <w:r w:rsidR="00761A53" w:rsidRPr="00E42AD0">
        <w:rPr>
          <w:sz w:val="21"/>
          <w:szCs w:val="21"/>
        </w:rPr>
        <w:t xml:space="preserve"> to SF133/ Budget Program and Financing Schedule P (Schedule P) crosswalk, the SF 133 format, or th</w:t>
      </w:r>
      <w:r w:rsidR="00595F23" w:rsidRPr="00E42AD0">
        <w:rPr>
          <w:sz w:val="21"/>
          <w:szCs w:val="21"/>
        </w:rPr>
        <w:t>e Schedule P</w:t>
      </w:r>
      <w:r w:rsidR="00761A53" w:rsidRPr="00E42AD0">
        <w:rPr>
          <w:sz w:val="21"/>
          <w:szCs w:val="21"/>
        </w:rPr>
        <w:t xml:space="preserve"> format.  </w:t>
      </w:r>
      <w:r w:rsidR="00E42AD0" w:rsidRPr="00E42AD0">
        <w:rPr>
          <w:sz w:val="21"/>
          <w:szCs w:val="21"/>
        </w:rPr>
        <w:t>However, OMB</w:t>
      </w:r>
      <w:r w:rsidR="00595F23" w:rsidRPr="00E42AD0">
        <w:rPr>
          <w:sz w:val="21"/>
          <w:szCs w:val="21"/>
        </w:rPr>
        <w:t xml:space="preserve"> </w:t>
      </w:r>
      <w:r w:rsidR="00761A53" w:rsidRPr="00E42AD0">
        <w:rPr>
          <w:sz w:val="21"/>
          <w:szCs w:val="21"/>
        </w:rPr>
        <w:t xml:space="preserve">would have underlying </w:t>
      </w:r>
      <w:r w:rsidR="00E42AD0" w:rsidRPr="00E42AD0">
        <w:rPr>
          <w:sz w:val="21"/>
          <w:szCs w:val="21"/>
        </w:rPr>
        <w:t xml:space="preserve">monthly </w:t>
      </w:r>
      <w:proofErr w:type="spellStart"/>
      <w:r w:rsidR="00E42AD0" w:rsidRPr="00E42AD0">
        <w:rPr>
          <w:sz w:val="21"/>
          <w:szCs w:val="21"/>
        </w:rPr>
        <w:t>USSGL</w:t>
      </w:r>
      <w:proofErr w:type="spellEnd"/>
      <w:r w:rsidR="00E42AD0" w:rsidRPr="00E42AD0">
        <w:rPr>
          <w:sz w:val="21"/>
          <w:szCs w:val="21"/>
        </w:rPr>
        <w:t xml:space="preserve"> budgetary data clearly identified as disaster and emergency </w:t>
      </w:r>
      <w:r w:rsidR="00761A53" w:rsidRPr="00E42AD0">
        <w:rPr>
          <w:sz w:val="21"/>
          <w:szCs w:val="21"/>
        </w:rPr>
        <w:t xml:space="preserve">to address </w:t>
      </w:r>
      <w:r w:rsidR="00595F23" w:rsidRPr="00E42AD0">
        <w:rPr>
          <w:sz w:val="21"/>
          <w:szCs w:val="21"/>
        </w:rPr>
        <w:t>Congressional inquiries</w:t>
      </w:r>
      <w:r w:rsidR="00E42AD0" w:rsidRPr="00E42AD0">
        <w:rPr>
          <w:sz w:val="21"/>
          <w:szCs w:val="21"/>
        </w:rPr>
        <w:t xml:space="preserve"> in a timely manner.</w:t>
      </w:r>
    </w:p>
    <w:p w14:paraId="237BA11C" w14:textId="600CCA00" w:rsidR="00595F23" w:rsidRDefault="00595F23" w:rsidP="00595F23">
      <w:pPr>
        <w:rPr>
          <w:sz w:val="21"/>
          <w:szCs w:val="21"/>
        </w:rPr>
      </w:pPr>
      <w:r w:rsidRPr="00E42AD0">
        <w:rPr>
          <w:sz w:val="21"/>
          <w:szCs w:val="21"/>
        </w:rPr>
        <w:t xml:space="preserve">Below is an illustration of the current </w:t>
      </w:r>
      <w:r w:rsidR="00D72CF3">
        <w:rPr>
          <w:sz w:val="21"/>
          <w:szCs w:val="21"/>
        </w:rPr>
        <w:t xml:space="preserve">“Program Indicator” vs the recommend “Disaster Emergency Fund Code” in the </w:t>
      </w:r>
      <w:proofErr w:type="spellStart"/>
      <w:r w:rsidR="00D72CF3">
        <w:rPr>
          <w:sz w:val="21"/>
          <w:szCs w:val="21"/>
        </w:rPr>
        <w:t>USSGL</w:t>
      </w:r>
      <w:proofErr w:type="spellEnd"/>
      <w:r w:rsidR="00D72CF3">
        <w:rPr>
          <w:sz w:val="21"/>
          <w:szCs w:val="21"/>
        </w:rPr>
        <w:t xml:space="preserve"> </w:t>
      </w:r>
      <w:proofErr w:type="spellStart"/>
      <w:r w:rsidR="00D72CF3">
        <w:rPr>
          <w:sz w:val="21"/>
          <w:szCs w:val="21"/>
        </w:rPr>
        <w:t>TFM</w:t>
      </w:r>
      <w:proofErr w:type="spellEnd"/>
      <w:r w:rsidR="00D72CF3">
        <w:rPr>
          <w:sz w:val="21"/>
          <w:szCs w:val="21"/>
        </w:rPr>
        <w:t xml:space="preserve"> Supplement Guidance</w:t>
      </w:r>
      <w:r w:rsidRPr="00E42AD0">
        <w:rPr>
          <w:sz w:val="21"/>
          <w:szCs w:val="21"/>
        </w:rPr>
        <w:t>.</w:t>
      </w:r>
    </w:p>
    <w:p w14:paraId="58E08124" w14:textId="79DDBEFD" w:rsidR="00595F23" w:rsidRPr="00EA3347" w:rsidRDefault="002E25F4" w:rsidP="00595F23">
      <w:pPr>
        <w:rPr>
          <w:sz w:val="21"/>
          <w:szCs w:val="21"/>
        </w:rPr>
      </w:pPr>
      <w:r w:rsidRPr="002E25F4">
        <w:rPr>
          <w:noProof/>
        </w:rPr>
        <w:lastRenderedPageBreak/>
        <w:drawing>
          <wp:inline distT="0" distB="0" distL="0" distR="0" wp14:anchorId="57849A84" wp14:editId="197F2A27">
            <wp:extent cx="6854041" cy="2981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983047"/>
                    </a:xfrm>
                    <a:prstGeom prst="rect">
                      <a:avLst/>
                    </a:prstGeom>
                    <a:noFill/>
                    <a:ln>
                      <a:noFill/>
                    </a:ln>
                  </pic:spPr>
                </pic:pic>
              </a:graphicData>
            </a:graphic>
          </wp:inline>
        </w:drawing>
      </w:r>
    </w:p>
    <w:p w14:paraId="37C73757" w14:textId="073D11D6" w:rsidR="00595F23" w:rsidRPr="00E42AD0" w:rsidRDefault="00595F23" w:rsidP="00595F23">
      <w:pPr>
        <w:spacing w:line="256" w:lineRule="auto"/>
        <w:rPr>
          <w:sz w:val="21"/>
          <w:szCs w:val="21"/>
        </w:rPr>
      </w:pPr>
      <w:r w:rsidRPr="00E42AD0">
        <w:rPr>
          <w:sz w:val="21"/>
          <w:szCs w:val="21"/>
        </w:rPr>
        <w:t>In addition to tracking the funding and high-level spending of disast</w:t>
      </w:r>
      <w:r w:rsidR="00E42AD0" w:rsidRPr="00E42AD0">
        <w:rPr>
          <w:sz w:val="21"/>
          <w:szCs w:val="21"/>
        </w:rPr>
        <w:t xml:space="preserve">er funds as described above, Treasury </w:t>
      </w:r>
      <w:r w:rsidRPr="00E42AD0">
        <w:rPr>
          <w:sz w:val="21"/>
          <w:szCs w:val="21"/>
        </w:rPr>
        <w:t xml:space="preserve">could also continue </w:t>
      </w:r>
      <w:r w:rsidR="00E42AD0" w:rsidRPr="00E42AD0">
        <w:rPr>
          <w:sz w:val="21"/>
          <w:szCs w:val="21"/>
        </w:rPr>
        <w:t>directing agencies to track</w:t>
      </w:r>
      <w:r w:rsidRPr="00E42AD0">
        <w:rPr>
          <w:sz w:val="21"/>
          <w:szCs w:val="21"/>
        </w:rPr>
        <w:t xml:space="preserve"> the spending down to the award level, using existing DATA Act data elements. </w:t>
      </w:r>
      <w:r w:rsidR="00E42AD0" w:rsidRPr="00E42AD0">
        <w:rPr>
          <w:sz w:val="21"/>
          <w:szCs w:val="21"/>
        </w:rPr>
        <w:t xml:space="preserve"> This lower level would allow Executive branch</w:t>
      </w:r>
      <w:r w:rsidRPr="00E42AD0">
        <w:rPr>
          <w:sz w:val="21"/>
          <w:szCs w:val="21"/>
        </w:rPr>
        <w:t xml:space="preserve"> to display the specific vendors and other detailed award data related to disaster spending. These are the three elements we could leverage:</w:t>
      </w:r>
    </w:p>
    <w:p w14:paraId="70A2E8B5" w14:textId="77777777" w:rsidR="00595F23" w:rsidRPr="00E42AD0" w:rsidRDefault="00595F23" w:rsidP="00595F23">
      <w:pPr>
        <w:pStyle w:val="ListParagraph"/>
        <w:numPr>
          <w:ilvl w:val="0"/>
          <w:numId w:val="25"/>
        </w:numPr>
        <w:spacing w:line="256" w:lineRule="auto"/>
        <w:rPr>
          <w:rFonts w:cs="Times New Roman"/>
          <w:b/>
        </w:rPr>
      </w:pPr>
      <w:r w:rsidRPr="00E42AD0">
        <w:rPr>
          <w:rFonts w:cs="Times New Roman"/>
          <w:i/>
        </w:rPr>
        <w:t>National Interest Action (NIA) code</w:t>
      </w:r>
      <w:r w:rsidRPr="00E42AD0">
        <w:rPr>
          <w:rFonts w:cs="Times New Roman"/>
          <w:b/>
        </w:rPr>
        <w:t xml:space="preserve"> – </w:t>
      </w:r>
      <w:r w:rsidRPr="00E42AD0">
        <w:rPr>
          <w:rFonts w:cs="Times New Roman"/>
        </w:rPr>
        <w:t>NIA codes have been established in the Federal Procurement Data System (</w:t>
      </w:r>
      <w:proofErr w:type="spellStart"/>
      <w:r w:rsidRPr="00E42AD0">
        <w:rPr>
          <w:rFonts w:cs="Times New Roman"/>
        </w:rPr>
        <w:t>FPDS</w:t>
      </w:r>
      <w:proofErr w:type="spellEnd"/>
      <w:r w:rsidRPr="00E42AD0">
        <w:rPr>
          <w:rFonts w:cs="Times New Roman"/>
        </w:rPr>
        <w:t xml:space="preserve">) to tack relief contracts for Harvey (H17H), Irma (H17I), and Maria (H17M).  Agencies report this information on a daily basis to </w:t>
      </w:r>
      <w:proofErr w:type="spellStart"/>
      <w:r w:rsidRPr="00E42AD0">
        <w:rPr>
          <w:rFonts w:cs="Times New Roman"/>
        </w:rPr>
        <w:t>FPDS</w:t>
      </w:r>
      <w:proofErr w:type="spellEnd"/>
      <w:r w:rsidRPr="00E42AD0">
        <w:rPr>
          <w:rFonts w:cs="Times New Roman"/>
        </w:rPr>
        <w:t>, which is then brought into the DATA Act broker for display on beta.USAspending.gov.</w:t>
      </w:r>
    </w:p>
    <w:p w14:paraId="34C65B5F" w14:textId="77777777" w:rsidR="00595F23" w:rsidRPr="00E42AD0" w:rsidRDefault="00595F23" w:rsidP="00595F23">
      <w:pPr>
        <w:pStyle w:val="ListParagraph"/>
        <w:rPr>
          <w:rFonts w:cs="Times New Roman"/>
          <w:b/>
        </w:rPr>
      </w:pPr>
    </w:p>
    <w:p w14:paraId="38AC097A" w14:textId="77777777" w:rsidR="00595F23" w:rsidRPr="00E42AD0" w:rsidRDefault="00595F23" w:rsidP="00595F23">
      <w:pPr>
        <w:pStyle w:val="ListParagraph"/>
        <w:numPr>
          <w:ilvl w:val="0"/>
          <w:numId w:val="25"/>
        </w:numPr>
        <w:spacing w:line="256" w:lineRule="auto"/>
        <w:rPr>
          <w:rFonts w:cs="Times New Roman"/>
          <w:b/>
        </w:rPr>
      </w:pPr>
      <w:r w:rsidRPr="00E42AD0">
        <w:rPr>
          <w:rFonts w:cs="Times New Roman"/>
          <w:i/>
        </w:rPr>
        <w:t>Catalog of Federal Domestic Assistance (</w:t>
      </w:r>
      <w:proofErr w:type="spellStart"/>
      <w:r w:rsidRPr="00E42AD0">
        <w:rPr>
          <w:rFonts w:cs="Times New Roman"/>
          <w:i/>
        </w:rPr>
        <w:t>CFDA</w:t>
      </w:r>
      <w:proofErr w:type="spellEnd"/>
      <w:r w:rsidRPr="00E42AD0">
        <w:rPr>
          <w:rFonts w:cs="Times New Roman"/>
          <w:i/>
        </w:rPr>
        <w:t>) Program</w:t>
      </w:r>
      <w:r w:rsidRPr="00E42AD0">
        <w:rPr>
          <w:rFonts w:cs="Times New Roman"/>
          <w:b/>
        </w:rPr>
        <w:t xml:space="preserve"> – </w:t>
      </w:r>
      <w:r w:rsidRPr="00E42AD0">
        <w:rPr>
          <w:rFonts w:cs="Times New Roman"/>
        </w:rPr>
        <w:t xml:space="preserve">Agencies are required to report a </w:t>
      </w:r>
      <w:proofErr w:type="spellStart"/>
      <w:r w:rsidRPr="00E42AD0">
        <w:rPr>
          <w:rFonts w:cs="Times New Roman"/>
        </w:rPr>
        <w:t>CFDA</w:t>
      </w:r>
      <w:proofErr w:type="spellEnd"/>
      <w:r w:rsidRPr="00E42AD0">
        <w:rPr>
          <w:rFonts w:cs="Times New Roman"/>
        </w:rPr>
        <w:t xml:space="preserve"> number for all financial assistance award spending to Treasury.  In the past, agencies and OMB have established specific </w:t>
      </w:r>
      <w:proofErr w:type="spellStart"/>
      <w:r w:rsidRPr="00E42AD0">
        <w:rPr>
          <w:rFonts w:cs="Times New Roman"/>
        </w:rPr>
        <w:t>CFDA</w:t>
      </w:r>
      <w:proofErr w:type="spellEnd"/>
      <w:r w:rsidRPr="00E42AD0">
        <w:rPr>
          <w:rFonts w:cs="Times New Roman"/>
        </w:rPr>
        <w:t xml:space="preserve"> program codes for disaster spending (e.g., 15.677 Hurricane Sandy Disaster Relief Activities-FWS and 93.776, Hurricane Katrina Relief Program).  Agencies report this information via the Financial Assistance Broker Submission (</w:t>
      </w:r>
      <w:proofErr w:type="spellStart"/>
      <w:r w:rsidRPr="00E42AD0">
        <w:rPr>
          <w:rFonts w:cs="Times New Roman"/>
        </w:rPr>
        <w:t>FABS</w:t>
      </w:r>
      <w:proofErr w:type="spellEnd"/>
      <w:r w:rsidRPr="00E42AD0">
        <w:rPr>
          <w:rFonts w:cs="Times New Roman"/>
        </w:rPr>
        <w:t>) on a bimonthly basis.</w:t>
      </w:r>
    </w:p>
    <w:p w14:paraId="3AF46F7A" w14:textId="77777777" w:rsidR="00595F23" w:rsidRPr="00E42AD0" w:rsidRDefault="00595F23" w:rsidP="00595F23">
      <w:pPr>
        <w:pStyle w:val="ListParagraph"/>
        <w:rPr>
          <w:rFonts w:cs="Times New Roman"/>
          <w:b/>
        </w:rPr>
      </w:pPr>
    </w:p>
    <w:p w14:paraId="4E657336" w14:textId="77777777" w:rsidR="00595F23" w:rsidRPr="00E42AD0" w:rsidRDefault="00595F23" w:rsidP="00595F23">
      <w:pPr>
        <w:pStyle w:val="ListParagraph"/>
        <w:numPr>
          <w:ilvl w:val="0"/>
          <w:numId w:val="25"/>
        </w:numPr>
        <w:spacing w:line="256" w:lineRule="auto"/>
        <w:rPr>
          <w:rFonts w:cs="Times New Roman"/>
        </w:rPr>
      </w:pPr>
      <w:r w:rsidRPr="00E42AD0">
        <w:rPr>
          <w:rFonts w:cs="Times New Roman"/>
          <w:i/>
        </w:rPr>
        <w:t>Business Funds Indicator (BFI) –</w:t>
      </w:r>
      <w:r w:rsidRPr="00E42AD0">
        <w:rPr>
          <w:rFonts w:cs="Times New Roman"/>
        </w:rPr>
        <w:t xml:space="preserve"> The BFI Code is used for reporting to USAspending.gov. In the past, it was used to report an award's applicability to the Recovery Act, but could be extended to also capture disaster reporting.</w:t>
      </w:r>
    </w:p>
    <w:p w14:paraId="2501BAEE" w14:textId="77777777" w:rsidR="00595F23" w:rsidRPr="00E42AD0" w:rsidRDefault="00595F23" w:rsidP="00595F23">
      <w:pPr>
        <w:pStyle w:val="ListParagraph"/>
        <w:spacing w:line="256" w:lineRule="auto"/>
        <w:rPr>
          <w:rFonts w:cs="Times New Roman"/>
          <w:b/>
        </w:rPr>
      </w:pPr>
    </w:p>
    <w:p w14:paraId="4E6D0DE8" w14:textId="77777777" w:rsidR="00595F23" w:rsidRPr="00E42AD0" w:rsidRDefault="00595F23" w:rsidP="00595F23">
      <w:pPr>
        <w:rPr>
          <w:rFonts w:cs="Times New Roman"/>
          <w:sz w:val="21"/>
          <w:szCs w:val="21"/>
          <w:u w:val="single"/>
        </w:rPr>
      </w:pPr>
      <w:r w:rsidRPr="00E42AD0">
        <w:rPr>
          <w:rFonts w:cs="Times New Roman"/>
          <w:sz w:val="21"/>
          <w:szCs w:val="21"/>
          <w:u w:val="single"/>
        </w:rPr>
        <w:t>Pros:</w:t>
      </w:r>
    </w:p>
    <w:p w14:paraId="48BB6821" w14:textId="69FF95B3" w:rsidR="00595F23" w:rsidRPr="00E42AD0" w:rsidRDefault="00595F23" w:rsidP="00595F23">
      <w:pPr>
        <w:rPr>
          <w:rFonts w:cs="Times New Roman"/>
          <w:sz w:val="21"/>
          <w:szCs w:val="21"/>
        </w:rPr>
      </w:pPr>
      <w:r w:rsidRPr="00E42AD0">
        <w:rPr>
          <w:rFonts w:cs="Times New Roman"/>
          <w:sz w:val="21"/>
          <w:szCs w:val="21"/>
        </w:rPr>
        <w:t xml:space="preserve">Tracking disaster resources by the </w:t>
      </w:r>
      <w:proofErr w:type="spellStart"/>
      <w:r w:rsidR="00D72CF3">
        <w:rPr>
          <w:rFonts w:cs="Times New Roman"/>
          <w:sz w:val="21"/>
          <w:szCs w:val="21"/>
        </w:rPr>
        <w:t>DEFC</w:t>
      </w:r>
      <w:proofErr w:type="spellEnd"/>
      <w:r w:rsidRPr="00E42AD0">
        <w:rPr>
          <w:rFonts w:cs="Times New Roman"/>
          <w:sz w:val="21"/>
          <w:szCs w:val="21"/>
        </w:rPr>
        <w:t xml:space="preserve"> and disaster spending by DATA Act elements provides several benefits:</w:t>
      </w:r>
    </w:p>
    <w:p w14:paraId="58969493" w14:textId="77777777" w:rsidR="00595F23" w:rsidRPr="00E42AD0" w:rsidRDefault="00595F23" w:rsidP="00595F23">
      <w:pPr>
        <w:pStyle w:val="ListParagraph"/>
        <w:numPr>
          <w:ilvl w:val="0"/>
          <w:numId w:val="26"/>
        </w:numPr>
        <w:spacing w:line="254" w:lineRule="auto"/>
        <w:rPr>
          <w:rFonts w:cs="Times New Roman"/>
          <w:b/>
          <w:sz w:val="21"/>
          <w:szCs w:val="21"/>
        </w:rPr>
      </w:pPr>
      <w:r w:rsidRPr="00E42AD0">
        <w:rPr>
          <w:rFonts w:cs="Times New Roman"/>
          <w:sz w:val="21"/>
          <w:szCs w:val="21"/>
        </w:rPr>
        <w:t xml:space="preserve">Tracks unobligated balances (beginning and ending), budgetary resources (including recoveries of prior year obligations), and unpaid obligated balances (beginning and ending)  by </w:t>
      </w:r>
      <w:proofErr w:type="spellStart"/>
      <w:r w:rsidRPr="00E42AD0">
        <w:rPr>
          <w:rFonts w:cs="Times New Roman"/>
          <w:sz w:val="21"/>
          <w:szCs w:val="21"/>
        </w:rPr>
        <w:t>USSGL</w:t>
      </w:r>
      <w:proofErr w:type="spellEnd"/>
      <w:r w:rsidRPr="00E42AD0">
        <w:rPr>
          <w:rFonts w:cs="Times New Roman"/>
          <w:sz w:val="21"/>
          <w:szCs w:val="21"/>
        </w:rPr>
        <w:t>, object class and program activity</w:t>
      </w:r>
    </w:p>
    <w:p w14:paraId="23CEBC65" w14:textId="77777777" w:rsidR="00595F23" w:rsidRPr="00E42AD0" w:rsidRDefault="00595F23" w:rsidP="00595F23">
      <w:pPr>
        <w:pStyle w:val="ListParagraph"/>
        <w:numPr>
          <w:ilvl w:val="0"/>
          <w:numId w:val="26"/>
        </w:numPr>
        <w:spacing w:line="254" w:lineRule="auto"/>
        <w:rPr>
          <w:rFonts w:cs="Times New Roman"/>
          <w:sz w:val="21"/>
          <w:szCs w:val="21"/>
        </w:rPr>
      </w:pPr>
      <w:r w:rsidRPr="00E42AD0">
        <w:rPr>
          <w:rFonts w:cs="Times New Roman"/>
          <w:sz w:val="21"/>
          <w:szCs w:val="21"/>
        </w:rPr>
        <w:t xml:space="preserve">Does not require </w:t>
      </w:r>
      <w:proofErr w:type="spellStart"/>
      <w:r w:rsidRPr="00E42AD0">
        <w:rPr>
          <w:rFonts w:cs="Times New Roman"/>
          <w:sz w:val="21"/>
          <w:szCs w:val="21"/>
        </w:rPr>
        <w:t>GTAS</w:t>
      </w:r>
      <w:proofErr w:type="spellEnd"/>
      <w:r w:rsidRPr="00E42AD0">
        <w:rPr>
          <w:rFonts w:cs="Times New Roman"/>
          <w:sz w:val="21"/>
          <w:szCs w:val="21"/>
        </w:rPr>
        <w:t xml:space="preserve"> bulk file changes</w:t>
      </w:r>
    </w:p>
    <w:p w14:paraId="4D1E453C" w14:textId="77777777" w:rsidR="00595F23" w:rsidRPr="00E42AD0" w:rsidRDefault="00595F23" w:rsidP="00595F23">
      <w:pPr>
        <w:pStyle w:val="ListParagraph"/>
        <w:numPr>
          <w:ilvl w:val="0"/>
          <w:numId w:val="26"/>
        </w:numPr>
        <w:spacing w:line="254" w:lineRule="auto"/>
        <w:rPr>
          <w:rFonts w:cs="Times New Roman"/>
          <w:sz w:val="21"/>
          <w:szCs w:val="21"/>
        </w:rPr>
      </w:pPr>
      <w:r w:rsidRPr="00E42AD0">
        <w:rPr>
          <w:rFonts w:cs="Times New Roman"/>
          <w:sz w:val="21"/>
          <w:szCs w:val="21"/>
        </w:rPr>
        <w:t>Does not require any DATA Act file changes</w:t>
      </w:r>
    </w:p>
    <w:p w14:paraId="1D52E0C5" w14:textId="77777777" w:rsidR="00595F23" w:rsidRPr="00E42AD0" w:rsidRDefault="00595F23" w:rsidP="00595F23">
      <w:pPr>
        <w:pStyle w:val="ListParagraph"/>
        <w:numPr>
          <w:ilvl w:val="0"/>
          <w:numId w:val="26"/>
        </w:numPr>
        <w:spacing w:line="254" w:lineRule="auto"/>
        <w:rPr>
          <w:rFonts w:cs="Times New Roman"/>
          <w:b/>
          <w:sz w:val="21"/>
          <w:szCs w:val="21"/>
        </w:rPr>
      </w:pPr>
      <w:r w:rsidRPr="00E42AD0">
        <w:rPr>
          <w:rFonts w:cs="Times New Roman"/>
          <w:sz w:val="21"/>
          <w:szCs w:val="21"/>
        </w:rPr>
        <w:t xml:space="preserve">Does not impact how the unexpended balances are tracked in CARS (one statement per </w:t>
      </w:r>
      <w:proofErr w:type="spellStart"/>
      <w:r w:rsidRPr="00E42AD0">
        <w:rPr>
          <w:rFonts w:cs="Times New Roman"/>
          <w:sz w:val="21"/>
          <w:szCs w:val="21"/>
        </w:rPr>
        <w:t>TAFS</w:t>
      </w:r>
      <w:proofErr w:type="spellEnd"/>
      <w:r w:rsidRPr="00E42AD0">
        <w:rPr>
          <w:rFonts w:cs="Times New Roman"/>
          <w:sz w:val="21"/>
          <w:szCs w:val="21"/>
        </w:rPr>
        <w:t>)</w:t>
      </w:r>
    </w:p>
    <w:p w14:paraId="0F85B478" w14:textId="77777777" w:rsidR="00595F23" w:rsidRPr="00E42AD0" w:rsidRDefault="00595F23" w:rsidP="00595F23">
      <w:pPr>
        <w:pStyle w:val="ListParagraph"/>
        <w:numPr>
          <w:ilvl w:val="0"/>
          <w:numId w:val="26"/>
        </w:numPr>
        <w:spacing w:line="254" w:lineRule="auto"/>
        <w:rPr>
          <w:rFonts w:cs="Times New Roman"/>
          <w:b/>
          <w:sz w:val="21"/>
          <w:szCs w:val="21"/>
        </w:rPr>
      </w:pPr>
      <w:r w:rsidRPr="00E42AD0">
        <w:t xml:space="preserve">Leverages existing </w:t>
      </w:r>
      <w:proofErr w:type="spellStart"/>
      <w:r w:rsidRPr="00E42AD0">
        <w:t>GTAS</w:t>
      </w:r>
      <w:proofErr w:type="spellEnd"/>
      <w:r w:rsidRPr="00E42AD0">
        <w:t xml:space="preserve"> attribute for tracking disasters, and gives OMB flexibility in assigning values</w:t>
      </w:r>
    </w:p>
    <w:p w14:paraId="17691D56" w14:textId="77777777" w:rsidR="00595F23" w:rsidRPr="00E42AD0" w:rsidRDefault="00595F23" w:rsidP="00595F23">
      <w:pPr>
        <w:pStyle w:val="ListParagraph"/>
        <w:numPr>
          <w:ilvl w:val="0"/>
          <w:numId w:val="26"/>
        </w:numPr>
        <w:spacing w:line="254" w:lineRule="auto"/>
        <w:rPr>
          <w:rFonts w:cs="Times New Roman"/>
          <w:b/>
          <w:sz w:val="21"/>
          <w:szCs w:val="21"/>
        </w:rPr>
      </w:pPr>
      <w:r w:rsidRPr="00E42AD0">
        <w:t xml:space="preserve">Provides monthly data in the same time frame of the current </w:t>
      </w:r>
      <w:proofErr w:type="spellStart"/>
      <w:r w:rsidRPr="00E42AD0">
        <w:t>GTAS</w:t>
      </w:r>
      <w:proofErr w:type="spellEnd"/>
      <w:r w:rsidRPr="00E42AD0">
        <w:t xml:space="preserve"> submission</w:t>
      </w:r>
    </w:p>
    <w:p w14:paraId="3697397F" w14:textId="77777777" w:rsidR="00595F23" w:rsidRPr="00E42AD0" w:rsidRDefault="00595F23" w:rsidP="00595F23">
      <w:pPr>
        <w:pStyle w:val="ListParagraph"/>
        <w:numPr>
          <w:ilvl w:val="0"/>
          <w:numId w:val="26"/>
        </w:numPr>
        <w:spacing w:line="254" w:lineRule="auto"/>
        <w:rPr>
          <w:rFonts w:cs="Times New Roman"/>
          <w:i/>
          <w:sz w:val="21"/>
          <w:szCs w:val="21"/>
        </w:rPr>
      </w:pPr>
      <w:r w:rsidRPr="00E42AD0">
        <w:rPr>
          <w:rFonts w:cs="Times New Roman"/>
          <w:sz w:val="21"/>
          <w:szCs w:val="21"/>
        </w:rPr>
        <w:t xml:space="preserve">Provides the ability to track disaster obligations at the award level </w:t>
      </w:r>
    </w:p>
    <w:p w14:paraId="62857B07" w14:textId="77777777" w:rsidR="00595F23" w:rsidRPr="00E42AD0" w:rsidRDefault="00595F23" w:rsidP="00595F23">
      <w:pPr>
        <w:rPr>
          <w:rFonts w:cs="Times New Roman"/>
          <w:sz w:val="21"/>
          <w:szCs w:val="21"/>
          <w:u w:val="single"/>
        </w:rPr>
      </w:pPr>
      <w:r w:rsidRPr="00E42AD0">
        <w:rPr>
          <w:rFonts w:cs="Times New Roman"/>
          <w:sz w:val="21"/>
          <w:szCs w:val="21"/>
          <w:u w:val="single"/>
        </w:rPr>
        <w:lastRenderedPageBreak/>
        <w:t>Cons:</w:t>
      </w:r>
    </w:p>
    <w:p w14:paraId="35CD96BB" w14:textId="2700FE65" w:rsidR="00595F23" w:rsidRPr="00E42AD0" w:rsidRDefault="00595F23" w:rsidP="00595F23">
      <w:pPr>
        <w:pStyle w:val="ListParagraph"/>
        <w:numPr>
          <w:ilvl w:val="0"/>
          <w:numId w:val="27"/>
        </w:numPr>
        <w:spacing w:line="254" w:lineRule="auto"/>
        <w:rPr>
          <w:rFonts w:cs="Times New Roman"/>
          <w:sz w:val="21"/>
          <w:szCs w:val="21"/>
        </w:rPr>
      </w:pPr>
      <w:r w:rsidRPr="00E42AD0">
        <w:t xml:space="preserve">Current system would limit available values of </w:t>
      </w:r>
      <w:proofErr w:type="spellStart"/>
      <w:r w:rsidR="00D72CF3">
        <w:t>DEFC</w:t>
      </w:r>
      <w:proofErr w:type="spellEnd"/>
      <w:r w:rsidRPr="00E42AD0">
        <w:t xml:space="preserve"> to 26 in total</w:t>
      </w:r>
    </w:p>
    <w:p w14:paraId="1F9D2111" w14:textId="77777777" w:rsidR="00627FF2" w:rsidRPr="00627FF2" w:rsidRDefault="00595F23" w:rsidP="00627FF2">
      <w:pPr>
        <w:pStyle w:val="ListParagraph"/>
        <w:numPr>
          <w:ilvl w:val="0"/>
          <w:numId w:val="27"/>
        </w:numPr>
        <w:spacing w:line="254" w:lineRule="auto"/>
        <w:rPr>
          <w:rFonts w:cs="Times New Roman"/>
          <w:sz w:val="21"/>
          <w:szCs w:val="21"/>
        </w:rPr>
      </w:pPr>
      <w:r w:rsidRPr="00E42AD0">
        <w:t xml:space="preserve">Award details would be delayed a couple weeks behind </w:t>
      </w:r>
      <w:proofErr w:type="spellStart"/>
      <w:r w:rsidRPr="00E42AD0">
        <w:t>GTAS</w:t>
      </w:r>
      <w:proofErr w:type="spellEnd"/>
      <w:r w:rsidRPr="00E42AD0">
        <w:t>, but still provides additional value to the public</w:t>
      </w:r>
    </w:p>
    <w:p w14:paraId="1F8E8A6A" w14:textId="6A0A57B3" w:rsidR="00627FF2" w:rsidRPr="00627FF2" w:rsidRDefault="00627FF2" w:rsidP="00627FF2">
      <w:pPr>
        <w:pStyle w:val="ListParagraph"/>
        <w:numPr>
          <w:ilvl w:val="0"/>
          <w:numId w:val="27"/>
        </w:numPr>
        <w:spacing w:line="254" w:lineRule="auto"/>
        <w:rPr>
          <w:rFonts w:cs="Times New Roman"/>
          <w:sz w:val="21"/>
          <w:szCs w:val="21"/>
        </w:rPr>
      </w:pPr>
      <w:r w:rsidRPr="00627FF2">
        <w:rPr>
          <w:sz w:val="21"/>
          <w:szCs w:val="21"/>
        </w:rPr>
        <w:t>If we pursue automating the Statement of Net Cost for agencies then we would need to find another solution for breaking out programs.</w:t>
      </w:r>
    </w:p>
    <w:p w14:paraId="6C1F0EA3" w14:textId="77777777" w:rsidR="00627FF2" w:rsidRPr="00E42AD0" w:rsidRDefault="00627FF2" w:rsidP="00627FF2">
      <w:pPr>
        <w:pStyle w:val="ListParagraph"/>
        <w:spacing w:line="254" w:lineRule="auto"/>
        <w:rPr>
          <w:rFonts w:cs="Times New Roman"/>
          <w:sz w:val="21"/>
          <w:szCs w:val="21"/>
        </w:rPr>
      </w:pPr>
    </w:p>
    <w:p w14:paraId="74FD4326" w14:textId="7562E44F" w:rsidR="00D72CF3" w:rsidRDefault="00D72CF3" w:rsidP="00D72CF3">
      <w:pPr>
        <w:ind w:left="2160" w:hanging="2160"/>
        <w:rPr>
          <w:sz w:val="21"/>
          <w:szCs w:val="21"/>
        </w:rPr>
      </w:pPr>
      <w:r>
        <w:rPr>
          <w:b/>
          <w:sz w:val="21"/>
          <w:szCs w:val="21"/>
          <w:u w:val="single"/>
        </w:rPr>
        <w:t>Implementation</w:t>
      </w:r>
      <w:r>
        <w:rPr>
          <w:sz w:val="21"/>
          <w:szCs w:val="21"/>
        </w:rPr>
        <w:t>:</w:t>
      </w:r>
      <w:r>
        <w:rPr>
          <w:sz w:val="21"/>
          <w:szCs w:val="21"/>
        </w:rPr>
        <w:tab/>
        <w:t xml:space="preserve">The </w:t>
      </w:r>
      <w:proofErr w:type="spellStart"/>
      <w:r>
        <w:rPr>
          <w:sz w:val="21"/>
          <w:szCs w:val="21"/>
        </w:rPr>
        <w:t>USSGL</w:t>
      </w:r>
      <w:proofErr w:type="spellEnd"/>
      <w:r>
        <w:rPr>
          <w:sz w:val="21"/>
          <w:szCs w:val="21"/>
        </w:rPr>
        <w:t xml:space="preserve"> </w:t>
      </w:r>
      <w:proofErr w:type="spellStart"/>
      <w:r>
        <w:rPr>
          <w:sz w:val="21"/>
          <w:szCs w:val="21"/>
        </w:rPr>
        <w:t>TFM</w:t>
      </w:r>
      <w:proofErr w:type="spellEnd"/>
      <w:r>
        <w:rPr>
          <w:sz w:val="21"/>
          <w:szCs w:val="21"/>
        </w:rPr>
        <w:t xml:space="preserve"> Supplement and </w:t>
      </w:r>
      <w:proofErr w:type="spellStart"/>
      <w:r>
        <w:rPr>
          <w:sz w:val="21"/>
          <w:szCs w:val="21"/>
        </w:rPr>
        <w:t>GTAS</w:t>
      </w:r>
      <w:proofErr w:type="spellEnd"/>
      <w:r>
        <w:rPr>
          <w:sz w:val="21"/>
          <w:szCs w:val="21"/>
        </w:rPr>
        <w:t xml:space="preserve"> reporting will be updated for Period 06 Fiscal Year 2018 reporting. Treasury and OMB </w:t>
      </w:r>
      <w:proofErr w:type="gramStart"/>
      <w:r>
        <w:rPr>
          <w:sz w:val="21"/>
          <w:szCs w:val="21"/>
        </w:rPr>
        <w:t>expects</w:t>
      </w:r>
      <w:proofErr w:type="gramEnd"/>
      <w:r>
        <w:rPr>
          <w:sz w:val="21"/>
          <w:szCs w:val="21"/>
        </w:rPr>
        <w:t xml:space="preserve"> agencies to report self-balancing Adjusted Trial Balances (ATB) that receive both non-disaster/emergency</w:t>
      </w:r>
      <w:r w:rsidR="00396838">
        <w:rPr>
          <w:sz w:val="21"/>
          <w:szCs w:val="21"/>
        </w:rPr>
        <w:t xml:space="preserve"> (“Q” Domain Value)</w:t>
      </w:r>
      <w:r>
        <w:rPr>
          <w:sz w:val="21"/>
          <w:szCs w:val="21"/>
        </w:rPr>
        <w:t xml:space="preserve"> and disaster/emergency</w:t>
      </w:r>
      <w:r w:rsidR="00396838">
        <w:rPr>
          <w:sz w:val="21"/>
          <w:szCs w:val="21"/>
        </w:rPr>
        <w:t xml:space="preserve"> (“A, B, C, etc.” Domain Values)</w:t>
      </w:r>
      <w:r>
        <w:rPr>
          <w:sz w:val="21"/>
          <w:szCs w:val="21"/>
        </w:rPr>
        <w:t xml:space="preserve"> funding in </w:t>
      </w:r>
      <w:proofErr w:type="spellStart"/>
      <w:r>
        <w:rPr>
          <w:sz w:val="21"/>
          <w:szCs w:val="21"/>
        </w:rPr>
        <w:t>GTAS</w:t>
      </w:r>
      <w:proofErr w:type="spellEnd"/>
      <w:r>
        <w:rPr>
          <w:sz w:val="21"/>
          <w:szCs w:val="21"/>
        </w:rPr>
        <w:t xml:space="preserve"> for Period 06.</w:t>
      </w:r>
    </w:p>
    <w:p w14:paraId="6781018C" w14:textId="6EE9DBA8" w:rsidR="00D72CF3" w:rsidRDefault="00D72CF3" w:rsidP="00396838">
      <w:pPr>
        <w:spacing w:after="0" w:line="256" w:lineRule="auto"/>
        <w:rPr>
          <w:sz w:val="21"/>
          <w:szCs w:val="21"/>
        </w:rPr>
      </w:pPr>
      <w:r>
        <w:rPr>
          <w:sz w:val="21"/>
          <w:szCs w:val="21"/>
        </w:rPr>
        <w:t xml:space="preserve">This recommendation will change the </w:t>
      </w:r>
      <w:proofErr w:type="spellStart"/>
      <w:r>
        <w:rPr>
          <w:sz w:val="21"/>
          <w:szCs w:val="21"/>
        </w:rPr>
        <w:t>USSGL</w:t>
      </w:r>
      <w:proofErr w:type="spellEnd"/>
      <w:r>
        <w:rPr>
          <w:sz w:val="21"/>
          <w:szCs w:val="21"/>
        </w:rPr>
        <w:t xml:space="preserve"> </w:t>
      </w:r>
      <w:proofErr w:type="spellStart"/>
      <w:r>
        <w:rPr>
          <w:sz w:val="21"/>
          <w:szCs w:val="21"/>
        </w:rPr>
        <w:t>TFM</w:t>
      </w:r>
      <w:proofErr w:type="spellEnd"/>
      <w:r>
        <w:rPr>
          <w:sz w:val="21"/>
          <w:szCs w:val="21"/>
        </w:rPr>
        <w:t xml:space="preserve"> Supplement for Bulletin 2017-16 (to be published in December) and OMB</w:t>
      </w:r>
    </w:p>
    <w:p w14:paraId="65626666" w14:textId="5905F2A5" w:rsidR="00396838" w:rsidRPr="00396838" w:rsidRDefault="00396838" w:rsidP="00396838">
      <w:pPr>
        <w:spacing w:after="0" w:line="256" w:lineRule="auto"/>
        <w:rPr>
          <w:sz w:val="21"/>
          <w:szCs w:val="21"/>
        </w:rPr>
      </w:pPr>
      <w:proofErr w:type="gramStart"/>
      <w:r>
        <w:rPr>
          <w:sz w:val="21"/>
          <w:szCs w:val="21"/>
        </w:rPr>
        <w:t>Guidance (Date TBD).</w:t>
      </w:r>
      <w:proofErr w:type="gramEnd"/>
      <w:r>
        <w:rPr>
          <w:sz w:val="21"/>
          <w:szCs w:val="21"/>
        </w:rPr>
        <w:t xml:space="preserve"> This change is being communicated broadly throughout the </w:t>
      </w:r>
      <w:proofErr w:type="spellStart"/>
      <w:r>
        <w:rPr>
          <w:sz w:val="21"/>
          <w:szCs w:val="21"/>
        </w:rPr>
        <w:t>governmentwide</w:t>
      </w:r>
      <w:proofErr w:type="spellEnd"/>
      <w:r>
        <w:rPr>
          <w:sz w:val="21"/>
          <w:szCs w:val="21"/>
        </w:rPr>
        <w:t xml:space="preserve"> community including at the December 5 </w:t>
      </w:r>
      <w:proofErr w:type="spellStart"/>
      <w:r>
        <w:rPr>
          <w:sz w:val="21"/>
          <w:szCs w:val="21"/>
        </w:rPr>
        <w:t>USSGL</w:t>
      </w:r>
      <w:proofErr w:type="spellEnd"/>
      <w:r>
        <w:rPr>
          <w:sz w:val="21"/>
          <w:szCs w:val="21"/>
        </w:rPr>
        <w:t xml:space="preserve"> IRC meeting. This will give agencies 3 months to make the required changed to the existing “Program Indicator” attribute.</w:t>
      </w:r>
      <w:r w:rsidR="0012579F">
        <w:rPr>
          <w:sz w:val="21"/>
          <w:szCs w:val="21"/>
        </w:rPr>
        <w:t xml:space="preserve"> Currently, in the </w:t>
      </w:r>
      <w:proofErr w:type="spellStart"/>
      <w:r w:rsidR="0012579F">
        <w:rPr>
          <w:sz w:val="21"/>
          <w:szCs w:val="21"/>
        </w:rPr>
        <w:t>USSGL</w:t>
      </w:r>
      <w:proofErr w:type="spellEnd"/>
      <w:r w:rsidR="0012579F">
        <w:rPr>
          <w:sz w:val="21"/>
          <w:szCs w:val="21"/>
        </w:rPr>
        <w:t xml:space="preserve"> </w:t>
      </w:r>
      <w:proofErr w:type="spellStart"/>
      <w:r w:rsidR="0012579F">
        <w:rPr>
          <w:sz w:val="21"/>
          <w:szCs w:val="21"/>
        </w:rPr>
        <w:t>TFM</w:t>
      </w:r>
      <w:proofErr w:type="spellEnd"/>
      <w:r w:rsidR="0012579F">
        <w:rPr>
          <w:sz w:val="21"/>
          <w:szCs w:val="21"/>
        </w:rPr>
        <w:t xml:space="preserve"> Supplement Guidance “Program Indicator” is an attribute used on the Statement of Net Cost. This will be removed from the Statement of Net Cost crosswalk in the </w:t>
      </w:r>
      <w:proofErr w:type="spellStart"/>
      <w:r w:rsidR="0012579F">
        <w:rPr>
          <w:sz w:val="21"/>
          <w:szCs w:val="21"/>
        </w:rPr>
        <w:t>USSGL</w:t>
      </w:r>
      <w:proofErr w:type="spellEnd"/>
      <w:r w:rsidR="0012579F">
        <w:rPr>
          <w:sz w:val="21"/>
          <w:szCs w:val="21"/>
        </w:rPr>
        <w:t xml:space="preserve"> </w:t>
      </w:r>
      <w:proofErr w:type="spellStart"/>
      <w:r w:rsidR="0012579F">
        <w:rPr>
          <w:sz w:val="21"/>
          <w:szCs w:val="21"/>
        </w:rPr>
        <w:t>TFM</w:t>
      </w:r>
      <w:proofErr w:type="spellEnd"/>
      <w:r w:rsidR="0012579F">
        <w:rPr>
          <w:sz w:val="21"/>
          <w:szCs w:val="21"/>
        </w:rPr>
        <w:t xml:space="preserve"> Supplement Guidance.</w:t>
      </w:r>
      <w:r>
        <w:rPr>
          <w:sz w:val="21"/>
          <w:szCs w:val="21"/>
        </w:rPr>
        <w:t xml:space="preserve"> Agencies are encouraged to leverage existing da</w:t>
      </w:r>
      <w:r w:rsidR="006059FC">
        <w:rPr>
          <w:sz w:val="21"/>
          <w:szCs w:val="21"/>
        </w:rPr>
        <w:t>ta in their financial systems</w:t>
      </w:r>
      <w:r>
        <w:rPr>
          <w:sz w:val="21"/>
          <w:szCs w:val="21"/>
        </w:rPr>
        <w:t xml:space="preserve"> in order to make this transition easier to implement. </w:t>
      </w:r>
      <w:r w:rsidR="00660593">
        <w:rPr>
          <w:sz w:val="21"/>
          <w:szCs w:val="21"/>
        </w:rPr>
        <w:t>Previous federal financial management requirements published by the Financial Systems Integration Office (</w:t>
      </w:r>
      <w:proofErr w:type="spellStart"/>
      <w:r w:rsidR="00660593">
        <w:rPr>
          <w:sz w:val="21"/>
          <w:szCs w:val="21"/>
        </w:rPr>
        <w:t>FISIO</w:t>
      </w:r>
      <w:proofErr w:type="spellEnd"/>
      <w:r w:rsidR="00660593">
        <w:rPr>
          <w:sz w:val="21"/>
          <w:szCs w:val="21"/>
        </w:rPr>
        <w:t xml:space="preserve">, previously </w:t>
      </w:r>
      <w:proofErr w:type="spellStart"/>
      <w:r w:rsidR="00660593">
        <w:rPr>
          <w:sz w:val="21"/>
          <w:szCs w:val="21"/>
        </w:rPr>
        <w:t>JFMIP</w:t>
      </w:r>
      <w:proofErr w:type="spellEnd"/>
      <w:r w:rsidR="00660593">
        <w:rPr>
          <w:sz w:val="21"/>
          <w:szCs w:val="21"/>
        </w:rPr>
        <w:t>)</w:t>
      </w:r>
      <w:r w:rsidR="00EE4B73">
        <w:rPr>
          <w:sz w:val="21"/>
          <w:szCs w:val="21"/>
        </w:rPr>
        <w:t xml:space="preserve"> </w:t>
      </w:r>
      <w:r w:rsidR="00EE4B73" w:rsidRPr="00396838">
        <w:rPr>
          <w:sz w:val="21"/>
          <w:szCs w:val="21"/>
        </w:rPr>
        <w:t>required</w:t>
      </w:r>
      <w:r w:rsidR="00EE4B73" w:rsidDel="00EE4B73">
        <w:rPr>
          <w:sz w:val="21"/>
          <w:szCs w:val="21"/>
        </w:rPr>
        <w:t xml:space="preserve"> </w:t>
      </w:r>
      <w:r w:rsidRPr="00396838">
        <w:rPr>
          <w:sz w:val="21"/>
          <w:szCs w:val="21"/>
        </w:rPr>
        <w:t xml:space="preserve">the agencies to have the capability to accommodate additional detail below the </w:t>
      </w:r>
      <w:proofErr w:type="spellStart"/>
      <w:r w:rsidRPr="00396838">
        <w:rPr>
          <w:sz w:val="21"/>
          <w:szCs w:val="21"/>
        </w:rPr>
        <w:t>TAFS</w:t>
      </w:r>
      <w:proofErr w:type="spellEnd"/>
      <w:r w:rsidRPr="00396838">
        <w:rPr>
          <w:sz w:val="21"/>
          <w:szCs w:val="21"/>
        </w:rPr>
        <w:t xml:space="preserve"> level such as an internal fund code to support fiscal year accounting</w:t>
      </w:r>
      <w:r w:rsidR="008F2E34">
        <w:rPr>
          <w:sz w:val="21"/>
          <w:szCs w:val="21"/>
        </w:rPr>
        <w:t>.</w:t>
      </w:r>
      <w:r w:rsidRPr="00396838">
        <w:rPr>
          <w:sz w:val="21"/>
          <w:szCs w:val="21"/>
        </w:rPr>
        <w:t xml:space="preserve"> Based on this, agency systems already have this financial system capability in place but are not required to report at this level because the internal fund codes are used by the agencies to track financial activity at a greater level of detail or to comply with other </w:t>
      </w:r>
      <w:proofErr w:type="spellStart"/>
      <w:r w:rsidRPr="00396838">
        <w:rPr>
          <w:sz w:val="21"/>
          <w:szCs w:val="21"/>
        </w:rPr>
        <w:t>GTAS</w:t>
      </w:r>
      <w:proofErr w:type="spellEnd"/>
      <w:r w:rsidRPr="00396838">
        <w:rPr>
          <w:sz w:val="21"/>
          <w:szCs w:val="21"/>
        </w:rPr>
        <w:t xml:space="preserve"> attribute requirement such as direct or reimbursable.  Further, if an agency currently has multiple internal fund codes, they combine the information or report in a manner that meets the </w:t>
      </w:r>
      <w:proofErr w:type="spellStart"/>
      <w:r w:rsidRPr="00396838">
        <w:rPr>
          <w:sz w:val="21"/>
          <w:szCs w:val="21"/>
        </w:rPr>
        <w:t>GTAS</w:t>
      </w:r>
      <w:proofErr w:type="spellEnd"/>
      <w:r w:rsidRPr="00396838">
        <w:rPr>
          <w:sz w:val="21"/>
          <w:szCs w:val="21"/>
        </w:rPr>
        <w:t xml:space="preserve"> reporting requirements.  </w:t>
      </w:r>
    </w:p>
    <w:p w14:paraId="09D27793" w14:textId="77777777" w:rsidR="007C5909" w:rsidRDefault="007C5909" w:rsidP="00396838">
      <w:pPr>
        <w:spacing w:after="0" w:line="256" w:lineRule="auto"/>
        <w:rPr>
          <w:sz w:val="21"/>
          <w:szCs w:val="21"/>
        </w:rPr>
      </w:pPr>
    </w:p>
    <w:p w14:paraId="1C9CB69E" w14:textId="76065824" w:rsidR="00396838" w:rsidRDefault="00396838" w:rsidP="00396838">
      <w:pPr>
        <w:spacing w:after="0" w:line="256" w:lineRule="auto"/>
        <w:rPr>
          <w:sz w:val="21"/>
          <w:szCs w:val="21"/>
        </w:rPr>
      </w:pPr>
      <w:r w:rsidRPr="00396838">
        <w:rPr>
          <w:sz w:val="21"/>
          <w:szCs w:val="21"/>
        </w:rPr>
        <w:t>Once provided the speci</w:t>
      </w:r>
      <w:r w:rsidR="007C5909">
        <w:rPr>
          <w:sz w:val="21"/>
          <w:szCs w:val="21"/>
        </w:rPr>
        <w:t xml:space="preserve">fic </w:t>
      </w:r>
      <w:proofErr w:type="spellStart"/>
      <w:r w:rsidR="007C5909">
        <w:rPr>
          <w:sz w:val="21"/>
          <w:szCs w:val="21"/>
        </w:rPr>
        <w:t>DEFC</w:t>
      </w:r>
      <w:proofErr w:type="spellEnd"/>
      <w:r w:rsidRPr="00396838">
        <w:rPr>
          <w:sz w:val="21"/>
          <w:szCs w:val="21"/>
        </w:rPr>
        <w:t xml:space="preserve"> domain value, agencies would separately identify the disaster or emergency with the attribute domain value for that specific disaster or emergency in conjunction with the appropriate budgetary </w:t>
      </w:r>
      <w:proofErr w:type="spellStart"/>
      <w:r w:rsidRPr="00396838">
        <w:rPr>
          <w:sz w:val="21"/>
          <w:szCs w:val="21"/>
        </w:rPr>
        <w:t>USSGL</w:t>
      </w:r>
      <w:proofErr w:type="spellEnd"/>
      <w:r w:rsidRPr="00396838">
        <w:rPr>
          <w:sz w:val="21"/>
          <w:szCs w:val="21"/>
        </w:rPr>
        <w:t xml:space="preserve">.  While agencies would report to </w:t>
      </w:r>
      <w:proofErr w:type="spellStart"/>
      <w:r w:rsidRPr="00396838">
        <w:rPr>
          <w:sz w:val="21"/>
          <w:szCs w:val="21"/>
        </w:rPr>
        <w:t>GTAS</w:t>
      </w:r>
      <w:proofErr w:type="spellEnd"/>
      <w:r w:rsidRPr="00396838">
        <w:rPr>
          <w:sz w:val="21"/>
          <w:szCs w:val="21"/>
        </w:rPr>
        <w:t xml:space="preserve"> using the </w:t>
      </w:r>
      <w:proofErr w:type="spellStart"/>
      <w:r w:rsidRPr="00396838">
        <w:rPr>
          <w:sz w:val="21"/>
          <w:szCs w:val="21"/>
        </w:rPr>
        <w:t>GTAS</w:t>
      </w:r>
      <w:proofErr w:type="spellEnd"/>
      <w:r w:rsidRPr="00396838">
        <w:rPr>
          <w:sz w:val="21"/>
          <w:szCs w:val="21"/>
        </w:rPr>
        <w:t xml:space="preserve"> attribute domain values for the non-disaster/emergency and disaster/emergency funding, agencies could continue with their agency naming conventions for their agency system internal fund codes as long as the agency system internal fund codes cross-walked and were reported with the O</w:t>
      </w:r>
      <w:r w:rsidR="007C5909">
        <w:rPr>
          <w:sz w:val="21"/>
          <w:szCs w:val="21"/>
        </w:rPr>
        <w:t xml:space="preserve">MB </w:t>
      </w:r>
      <w:proofErr w:type="spellStart"/>
      <w:r w:rsidR="007C5909">
        <w:rPr>
          <w:sz w:val="21"/>
          <w:szCs w:val="21"/>
        </w:rPr>
        <w:t>DEFC</w:t>
      </w:r>
      <w:proofErr w:type="spellEnd"/>
      <w:r w:rsidRPr="00396838">
        <w:rPr>
          <w:sz w:val="21"/>
          <w:szCs w:val="21"/>
        </w:rPr>
        <w:t xml:space="preserve"> for </w:t>
      </w:r>
      <w:proofErr w:type="spellStart"/>
      <w:r w:rsidRPr="00396838">
        <w:rPr>
          <w:sz w:val="21"/>
          <w:szCs w:val="21"/>
        </w:rPr>
        <w:t>GTAS</w:t>
      </w:r>
      <w:proofErr w:type="spellEnd"/>
      <w:r w:rsidRPr="00396838">
        <w:rPr>
          <w:sz w:val="21"/>
          <w:szCs w:val="21"/>
        </w:rPr>
        <w:t xml:space="preserve"> purposes</w:t>
      </w:r>
      <w:r w:rsidR="007C5909">
        <w:rPr>
          <w:sz w:val="21"/>
          <w:szCs w:val="21"/>
        </w:rPr>
        <w:t>.</w:t>
      </w:r>
    </w:p>
    <w:p w14:paraId="64D9EFC0" w14:textId="77777777" w:rsidR="00D72CF3" w:rsidRDefault="00D72CF3" w:rsidP="00D72CF3">
      <w:pPr>
        <w:spacing w:line="256" w:lineRule="auto"/>
        <w:rPr>
          <w:sz w:val="21"/>
          <w:szCs w:val="21"/>
        </w:rPr>
      </w:pPr>
    </w:p>
    <w:p w14:paraId="1C39DCDF" w14:textId="77777777" w:rsidR="00E355A3" w:rsidRPr="00E42AD0" w:rsidRDefault="00E355A3" w:rsidP="00E355A3">
      <w:pPr>
        <w:rPr>
          <w:rFonts w:cs="Times New Roman"/>
          <w:sz w:val="21"/>
          <w:szCs w:val="21"/>
          <w:u w:val="single"/>
        </w:rPr>
      </w:pPr>
      <w:r>
        <w:rPr>
          <w:rFonts w:cs="Times New Roman"/>
          <w:sz w:val="21"/>
          <w:szCs w:val="21"/>
          <w:u w:val="single"/>
        </w:rPr>
        <w:t xml:space="preserve">Self-Balancing TAS Example by </w:t>
      </w:r>
      <w:proofErr w:type="spellStart"/>
      <w:r>
        <w:rPr>
          <w:rFonts w:cs="Times New Roman"/>
          <w:sz w:val="21"/>
          <w:szCs w:val="21"/>
          <w:u w:val="single"/>
        </w:rPr>
        <w:t>DEFC</w:t>
      </w:r>
      <w:proofErr w:type="spellEnd"/>
      <w:r>
        <w:rPr>
          <w:rFonts w:cs="Times New Roman"/>
          <w:sz w:val="21"/>
          <w:szCs w:val="21"/>
          <w:u w:val="single"/>
        </w:rPr>
        <w:t xml:space="preserve"> Attribute</w:t>
      </w:r>
      <w:r w:rsidRPr="00E42AD0">
        <w:rPr>
          <w:rFonts w:cs="Times New Roman"/>
          <w:sz w:val="21"/>
          <w:szCs w:val="21"/>
          <w:u w:val="single"/>
        </w:rPr>
        <w:t>:</w:t>
      </w:r>
    </w:p>
    <w:p w14:paraId="3E5A44C8" w14:textId="0C5BE291" w:rsidR="00FD44CD" w:rsidRPr="00FD44CD" w:rsidRDefault="00684CF8" w:rsidP="00D72CF3">
      <w:pPr>
        <w:spacing w:line="256" w:lineRule="auto"/>
        <w:rPr>
          <w:sz w:val="21"/>
          <w:szCs w:val="21"/>
        </w:rPr>
      </w:pPr>
      <w:r>
        <w:rPr>
          <w:noProof/>
        </w:rPr>
        <w:drawing>
          <wp:inline distT="0" distB="0" distL="0" distR="0" wp14:anchorId="0BF76D07" wp14:editId="2BE1B14F">
            <wp:extent cx="6858000" cy="22479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6858000" cy="2247900"/>
                    </a:xfrm>
                    <a:prstGeom prst="rect">
                      <a:avLst/>
                    </a:prstGeom>
                  </pic:spPr>
                </pic:pic>
              </a:graphicData>
            </a:graphic>
          </wp:inline>
        </w:drawing>
      </w:r>
    </w:p>
    <w:p w14:paraId="0F1797D0" w14:textId="7EE85BF0" w:rsidR="00684CF8" w:rsidRDefault="00684CF8" w:rsidP="00D72CF3">
      <w:pPr>
        <w:spacing w:line="256" w:lineRule="auto"/>
        <w:rPr>
          <w:sz w:val="21"/>
          <w:szCs w:val="21"/>
        </w:rPr>
      </w:pPr>
      <w:r>
        <w:rPr>
          <w:b/>
          <w:sz w:val="20"/>
          <w:szCs w:val="20"/>
        </w:rPr>
        <w:lastRenderedPageBreak/>
        <w:t>Note:</w:t>
      </w:r>
      <w:r>
        <w:rPr>
          <w:sz w:val="20"/>
          <w:szCs w:val="20"/>
        </w:rPr>
        <w:t xml:space="preserve">  The table above is for illustrative purposes and does not include all of the </w:t>
      </w:r>
      <w:proofErr w:type="spellStart"/>
      <w:r>
        <w:rPr>
          <w:sz w:val="20"/>
          <w:szCs w:val="20"/>
        </w:rPr>
        <w:t>GTAS</w:t>
      </w:r>
      <w:proofErr w:type="spellEnd"/>
      <w:r>
        <w:rPr>
          <w:sz w:val="20"/>
          <w:szCs w:val="20"/>
        </w:rPr>
        <w:t xml:space="preserve"> </w:t>
      </w:r>
      <w:proofErr w:type="spellStart"/>
      <w:r>
        <w:rPr>
          <w:sz w:val="20"/>
          <w:szCs w:val="20"/>
        </w:rPr>
        <w:t>USSGL</w:t>
      </w:r>
      <w:proofErr w:type="spellEnd"/>
      <w:r>
        <w:rPr>
          <w:sz w:val="20"/>
          <w:szCs w:val="20"/>
        </w:rPr>
        <w:t xml:space="preserve"> applicable for the </w:t>
      </w:r>
      <w:proofErr w:type="spellStart"/>
      <w:r>
        <w:rPr>
          <w:sz w:val="20"/>
          <w:szCs w:val="20"/>
        </w:rPr>
        <w:t>USSGL</w:t>
      </w:r>
      <w:proofErr w:type="spellEnd"/>
      <w:r>
        <w:rPr>
          <w:sz w:val="20"/>
          <w:szCs w:val="20"/>
        </w:rPr>
        <w:t xml:space="preserve"> accounts identified above</w:t>
      </w:r>
    </w:p>
    <w:sectPr w:rsidR="00684CF8" w:rsidSect="0030141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3D1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06D3" w14:textId="77777777" w:rsidR="000757FA" w:rsidRDefault="000757FA" w:rsidP="00203D9C">
      <w:pPr>
        <w:spacing w:after="0" w:line="240" w:lineRule="auto"/>
      </w:pPr>
      <w:r>
        <w:separator/>
      </w:r>
    </w:p>
  </w:endnote>
  <w:endnote w:type="continuationSeparator" w:id="0">
    <w:p w14:paraId="150E968B" w14:textId="77777777" w:rsidR="000757FA" w:rsidRDefault="000757FA" w:rsidP="002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C38C" w14:textId="77777777" w:rsidR="009238B0" w:rsidRDefault="00923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70050"/>
      <w:docPartObj>
        <w:docPartGallery w:val="Page Numbers (Bottom of Page)"/>
        <w:docPartUnique/>
      </w:docPartObj>
    </w:sdtPr>
    <w:sdtEndPr/>
    <w:sdtContent>
      <w:sdt>
        <w:sdtPr>
          <w:id w:val="-1705238520"/>
          <w:docPartObj>
            <w:docPartGallery w:val="Page Numbers (Top of Page)"/>
            <w:docPartUnique/>
          </w:docPartObj>
        </w:sdtPr>
        <w:sdtEndPr/>
        <w:sdtContent>
          <w:p w14:paraId="6924C237" w14:textId="3D4E2647" w:rsidR="00203D9C" w:rsidRPr="00203D9C" w:rsidRDefault="00203D9C">
            <w:pPr>
              <w:pStyle w:val="Footer"/>
            </w:pPr>
            <w:r w:rsidRPr="00203D9C">
              <w:t xml:space="preserve">Page </w:t>
            </w:r>
            <w:r w:rsidRPr="00A55C88">
              <w:rPr>
                <w:bCs/>
                <w:sz w:val="24"/>
                <w:szCs w:val="24"/>
              </w:rPr>
              <w:fldChar w:fldCharType="begin"/>
            </w:r>
            <w:r w:rsidRPr="00A55C88">
              <w:rPr>
                <w:bCs/>
              </w:rPr>
              <w:instrText xml:space="preserve"> PAGE </w:instrText>
            </w:r>
            <w:r w:rsidRPr="00A55C88">
              <w:rPr>
                <w:bCs/>
                <w:sz w:val="24"/>
                <w:szCs w:val="24"/>
              </w:rPr>
              <w:fldChar w:fldCharType="separate"/>
            </w:r>
            <w:r w:rsidR="009238B0">
              <w:rPr>
                <w:bCs/>
                <w:noProof/>
              </w:rPr>
              <w:t>1</w:t>
            </w:r>
            <w:r w:rsidRPr="00A55C88">
              <w:rPr>
                <w:bCs/>
                <w:sz w:val="24"/>
                <w:szCs w:val="24"/>
              </w:rPr>
              <w:fldChar w:fldCharType="end"/>
            </w:r>
            <w:r w:rsidRPr="00203D9C">
              <w:t xml:space="preserve"> of </w:t>
            </w:r>
            <w:r w:rsidRPr="00A55C88">
              <w:rPr>
                <w:bCs/>
                <w:sz w:val="24"/>
                <w:szCs w:val="24"/>
              </w:rPr>
              <w:fldChar w:fldCharType="begin"/>
            </w:r>
            <w:r w:rsidRPr="00A55C88">
              <w:rPr>
                <w:bCs/>
              </w:rPr>
              <w:instrText xml:space="preserve"> NUMPAGES  </w:instrText>
            </w:r>
            <w:r w:rsidRPr="00A55C88">
              <w:rPr>
                <w:bCs/>
                <w:sz w:val="24"/>
                <w:szCs w:val="24"/>
              </w:rPr>
              <w:fldChar w:fldCharType="separate"/>
            </w:r>
            <w:r w:rsidR="009238B0">
              <w:rPr>
                <w:bCs/>
                <w:noProof/>
              </w:rPr>
              <w:t>5</w:t>
            </w:r>
            <w:r w:rsidRPr="00A55C88">
              <w:rPr>
                <w:bCs/>
                <w:sz w:val="24"/>
                <w:szCs w:val="24"/>
              </w:rPr>
              <w:fldChar w:fldCharType="end"/>
            </w:r>
          </w:p>
        </w:sdtContent>
      </w:sdt>
    </w:sdtContent>
  </w:sdt>
  <w:p w14:paraId="12DC933D" w14:textId="77777777" w:rsidR="00203D9C" w:rsidRDefault="00203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0003" w14:textId="77777777" w:rsidR="009238B0" w:rsidRDefault="0092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4028" w14:textId="77777777" w:rsidR="000757FA" w:rsidRDefault="000757FA" w:rsidP="00203D9C">
      <w:pPr>
        <w:spacing w:after="0" w:line="240" w:lineRule="auto"/>
      </w:pPr>
      <w:r>
        <w:separator/>
      </w:r>
    </w:p>
  </w:footnote>
  <w:footnote w:type="continuationSeparator" w:id="0">
    <w:p w14:paraId="2C73B48A" w14:textId="77777777" w:rsidR="000757FA" w:rsidRDefault="000757FA" w:rsidP="0020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5770" w14:textId="77777777" w:rsidR="009238B0" w:rsidRDefault="00923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46963"/>
      <w:docPartObj>
        <w:docPartGallery w:val="Watermarks"/>
        <w:docPartUnique/>
      </w:docPartObj>
    </w:sdtPr>
    <w:sdtContent>
      <w:p w14:paraId="1DDA4C7B" w14:textId="383AFA84" w:rsidR="009238B0" w:rsidRDefault="009238B0">
        <w:pPr>
          <w:pStyle w:val="Header"/>
        </w:pPr>
        <w:r>
          <w:rPr>
            <w:noProof/>
            <w:lang w:eastAsia="zh-TW"/>
          </w:rPr>
          <w:pict w14:anchorId="69D45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0F74" w14:textId="77777777" w:rsidR="009238B0" w:rsidRDefault="00923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32F"/>
    <w:multiLevelType w:val="hybridMultilevel"/>
    <w:tmpl w:val="5FE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18A9"/>
    <w:multiLevelType w:val="hybridMultilevel"/>
    <w:tmpl w:val="30F461A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90A29"/>
    <w:multiLevelType w:val="hybridMultilevel"/>
    <w:tmpl w:val="91063CDC"/>
    <w:lvl w:ilvl="0" w:tplc="B32AF0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921D6"/>
    <w:multiLevelType w:val="hybridMultilevel"/>
    <w:tmpl w:val="B36CD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F15D6"/>
    <w:multiLevelType w:val="hybridMultilevel"/>
    <w:tmpl w:val="CBD06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40625"/>
    <w:multiLevelType w:val="hybridMultilevel"/>
    <w:tmpl w:val="CC00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D6968"/>
    <w:multiLevelType w:val="hybridMultilevel"/>
    <w:tmpl w:val="EB0E4092"/>
    <w:lvl w:ilvl="0" w:tplc="71A8A35A">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600B8"/>
    <w:multiLevelType w:val="hybridMultilevel"/>
    <w:tmpl w:val="88E05E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77867"/>
    <w:multiLevelType w:val="hybridMultilevel"/>
    <w:tmpl w:val="0F5EE4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E63D05"/>
    <w:multiLevelType w:val="hybridMultilevel"/>
    <w:tmpl w:val="3FC2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43327"/>
    <w:multiLevelType w:val="hybridMultilevel"/>
    <w:tmpl w:val="3CF8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400D3"/>
    <w:multiLevelType w:val="hybridMultilevel"/>
    <w:tmpl w:val="600AFD4C"/>
    <w:lvl w:ilvl="0" w:tplc="7B027C5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440B"/>
    <w:multiLevelType w:val="hybridMultilevel"/>
    <w:tmpl w:val="2CA2C7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66E73"/>
    <w:multiLevelType w:val="hybridMultilevel"/>
    <w:tmpl w:val="217AA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4960816"/>
    <w:multiLevelType w:val="hybridMultilevel"/>
    <w:tmpl w:val="C55E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02521"/>
    <w:multiLevelType w:val="hybridMultilevel"/>
    <w:tmpl w:val="4AF4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20F75"/>
    <w:multiLevelType w:val="hybridMultilevel"/>
    <w:tmpl w:val="7444F5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2407A"/>
    <w:multiLevelType w:val="hybridMultilevel"/>
    <w:tmpl w:val="8D4C1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5"/>
  </w:num>
  <w:num w:numId="5">
    <w:abstractNumId w:val="9"/>
  </w:num>
  <w:num w:numId="6">
    <w:abstractNumId w:val="0"/>
  </w:num>
  <w:num w:numId="7">
    <w:abstractNumId w:val="17"/>
  </w:num>
  <w:num w:numId="8">
    <w:abstractNumId w:val="16"/>
  </w:num>
  <w:num w:numId="9">
    <w:abstractNumId w:val="2"/>
  </w:num>
  <w:num w:numId="10">
    <w:abstractNumId w:val="11"/>
  </w:num>
  <w:num w:numId="11">
    <w:abstractNumId w:val="4"/>
  </w:num>
  <w:num w:numId="12">
    <w:abstractNumId w:val="8"/>
  </w:num>
  <w:num w:numId="13">
    <w:abstractNumId w:val="6"/>
  </w:num>
  <w:num w:numId="14">
    <w:abstractNumId w:val="12"/>
  </w:num>
  <w:num w:numId="15">
    <w:abstractNumId w:val="3"/>
  </w:num>
  <w:num w:numId="16">
    <w:abstractNumId w:val="13"/>
  </w:num>
  <w:num w:numId="17">
    <w:abstractNumId w:val="7"/>
  </w:num>
  <w:num w:numId="18">
    <w:abstractNumId w:val="16"/>
  </w:num>
  <w:num w:numId="19">
    <w:abstractNumId w:val="7"/>
  </w:num>
  <w:num w:numId="20">
    <w:abstractNumId w:val="3"/>
  </w:num>
  <w:num w:numId="21">
    <w:abstractNumId w:val="1"/>
  </w:num>
  <w:num w:numId="22">
    <w:abstractNumId w:val="10"/>
  </w:num>
  <w:num w:numId="23">
    <w:abstractNumId w:val="16"/>
  </w:num>
  <w:num w:numId="24">
    <w:abstractNumId w:val="3"/>
  </w:num>
  <w:num w:numId="25">
    <w:abstractNumId w:val="10"/>
  </w:num>
  <w:num w:numId="26">
    <w:abstractNumId w:val="16"/>
  </w:num>
  <w:num w:numId="27">
    <w:abstractNumId w:val="3"/>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J. Miller">
    <w15:presenceInfo w15:providerId="AD" w15:userId="S-1-5-21-3265410665-4112887084-1777731901-7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3"/>
    <w:rsid w:val="00037E07"/>
    <w:rsid w:val="0004451C"/>
    <w:rsid w:val="00064439"/>
    <w:rsid w:val="0007179E"/>
    <w:rsid w:val="000757FA"/>
    <w:rsid w:val="00076624"/>
    <w:rsid w:val="000A188D"/>
    <w:rsid w:val="000B75A7"/>
    <w:rsid w:val="00101F4A"/>
    <w:rsid w:val="0011202E"/>
    <w:rsid w:val="001254AF"/>
    <w:rsid w:val="0012579F"/>
    <w:rsid w:val="00146B72"/>
    <w:rsid w:val="00150A26"/>
    <w:rsid w:val="00161A10"/>
    <w:rsid w:val="00176846"/>
    <w:rsid w:val="001E4520"/>
    <w:rsid w:val="001E4B46"/>
    <w:rsid w:val="00203D9C"/>
    <w:rsid w:val="00205A56"/>
    <w:rsid w:val="00207FDB"/>
    <w:rsid w:val="00237A7C"/>
    <w:rsid w:val="00264FE4"/>
    <w:rsid w:val="002D0C18"/>
    <w:rsid w:val="002E25F4"/>
    <w:rsid w:val="002F7A55"/>
    <w:rsid w:val="00301412"/>
    <w:rsid w:val="0031152F"/>
    <w:rsid w:val="00327BD9"/>
    <w:rsid w:val="00367766"/>
    <w:rsid w:val="003877E8"/>
    <w:rsid w:val="00396838"/>
    <w:rsid w:val="003A5DFB"/>
    <w:rsid w:val="003B53C6"/>
    <w:rsid w:val="003C1303"/>
    <w:rsid w:val="003E22B1"/>
    <w:rsid w:val="003E7E15"/>
    <w:rsid w:val="00445E59"/>
    <w:rsid w:val="00473646"/>
    <w:rsid w:val="00475694"/>
    <w:rsid w:val="0047790F"/>
    <w:rsid w:val="004C02CD"/>
    <w:rsid w:val="00503DB1"/>
    <w:rsid w:val="0051270F"/>
    <w:rsid w:val="00534490"/>
    <w:rsid w:val="00547892"/>
    <w:rsid w:val="00565CE8"/>
    <w:rsid w:val="00595F23"/>
    <w:rsid w:val="005A1A0D"/>
    <w:rsid w:val="005A5F22"/>
    <w:rsid w:val="005D0717"/>
    <w:rsid w:val="006059FC"/>
    <w:rsid w:val="00627FF2"/>
    <w:rsid w:val="006503CB"/>
    <w:rsid w:val="00654BB0"/>
    <w:rsid w:val="00660593"/>
    <w:rsid w:val="00667AFC"/>
    <w:rsid w:val="00677D28"/>
    <w:rsid w:val="00684CF8"/>
    <w:rsid w:val="006A7AB8"/>
    <w:rsid w:val="007008FC"/>
    <w:rsid w:val="00701940"/>
    <w:rsid w:val="00706F09"/>
    <w:rsid w:val="007139E2"/>
    <w:rsid w:val="007269CA"/>
    <w:rsid w:val="007334B4"/>
    <w:rsid w:val="00753D2F"/>
    <w:rsid w:val="0076138D"/>
    <w:rsid w:val="00761A53"/>
    <w:rsid w:val="007C072E"/>
    <w:rsid w:val="007C5909"/>
    <w:rsid w:val="007F27A7"/>
    <w:rsid w:val="007F7820"/>
    <w:rsid w:val="00824897"/>
    <w:rsid w:val="00866A81"/>
    <w:rsid w:val="008679F6"/>
    <w:rsid w:val="00871902"/>
    <w:rsid w:val="008D2FD5"/>
    <w:rsid w:val="008E0525"/>
    <w:rsid w:val="008F2E34"/>
    <w:rsid w:val="009238B0"/>
    <w:rsid w:val="00931E4A"/>
    <w:rsid w:val="009A1B8C"/>
    <w:rsid w:val="009C0E3B"/>
    <w:rsid w:val="009C46A1"/>
    <w:rsid w:val="00A140AE"/>
    <w:rsid w:val="00A20198"/>
    <w:rsid w:val="00A46DAA"/>
    <w:rsid w:val="00A55C88"/>
    <w:rsid w:val="00A577E7"/>
    <w:rsid w:val="00A66A6D"/>
    <w:rsid w:val="00A833DF"/>
    <w:rsid w:val="00A83509"/>
    <w:rsid w:val="00A85E1F"/>
    <w:rsid w:val="00AC280D"/>
    <w:rsid w:val="00AC509E"/>
    <w:rsid w:val="00AD124B"/>
    <w:rsid w:val="00AE0EBF"/>
    <w:rsid w:val="00AF7E6C"/>
    <w:rsid w:val="00B04FA4"/>
    <w:rsid w:val="00B250C4"/>
    <w:rsid w:val="00B67373"/>
    <w:rsid w:val="00B703B6"/>
    <w:rsid w:val="00B769E3"/>
    <w:rsid w:val="00B912D0"/>
    <w:rsid w:val="00B9509C"/>
    <w:rsid w:val="00BD4649"/>
    <w:rsid w:val="00BE26B4"/>
    <w:rsid w:val="00BE56A3"/>
    <w:rsid w:val="00BF3056"/>
    <w:rsid w:val="00C12DD8"/>
    <w:rsid w:val="00C23D05"/>
    <w:rsid w:val="00C353AA"/>
    <w:rsid w:val="00C61F6F"/>
    <w:rsid w:val="00C705F6"/>
    <w:rsid w:val="00C72C98"/>
    <w:rsid w:val="00C87116"/>
    <w:rsid w:val="00CD6A76"/>
    <w:rsid w:val="00CF5B3C"/>
    <w:rsid w:val="00D128BA"/>
    <w:rsid w:val="00D13CB3"/>
    <w:rsid w:val="00D216B5"/>
    <w:rsid w:val="00D2249D"/>
    <w:rsid w:val="00D268CA"/>
    <w:rsid w:val="00D47431"/>
    <w:rsid w:val="00D72CF3"/>
    <w:rsid w:val="00D9412A"/>
    <w:rsid w:val="00DA3310"/>
    <w:rsid w:val="00DA4E3C"/>
    <w:rsid w:val="00E355A3"/>
    <w:rsid w:val="00E42AD0"/>
    <w:rsid w:val="00E43803"/>
    <w:rsid w:val="00E77877"/>
    <w:rsid w:val="00E93871"/>
    <w:rsid w:val="00EA3347"/>
    <w:rsid w:val="00EC54B0"/>
    <w:rsid w:val="00ED0322"/>
    <w:rsid w:val="00EE358C"/>
    <w:rsid w:val="00EE4B73"/>
    <w:rsid w:val="00EF745C"/>
    <w:rsid w:val="00EF7A3B"/>
    <w:rsid w:val="00F3680A"/>
    <w:rsid w:val="00F424DA"/>
    <w:rsid w:val="00F67123"/>
    <w:rsid w:val="00F747A9"/>
    <w:rsid w:val="00F87557"/>
    <w:rsid w:val="00F908D7"/>
    <w:rsid w:val="00F91A5A"/>
    <w:rsid w:val="00F96B2A"/>
    <w:rsid w:val="00FC2BC6"/>
    <w:rsid w:val="00FC46D4"/>
    <w:rsid w:val="00FC58F5"/>
    <w:rsid w:val="00FD44CD"/>
    <w:rsid w:val="00FF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DC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B8"/>
    <w:pPr>
      <w:ind w:left="720"/>
      <w:contextualSpacing/>
    </w:pPr>
  </w:style>
  <w:style w:type="paragraph" w:styleId="NormalWeb">
    <w:name w:val="Normal (Web)"/>
    <w:basedOn w:val="Normal"/>
    <w:uiPriority w:val="99"/>
    <w:semiHidden/>
    <w:unhideWhenUsed/>
    <w:rsid w:val="006A7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77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57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7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833DF"/>
    <w:rPr>
      <w:sz w:val="16"/>
      <w:szCs w:val="16"/>
    </w:rPr>
  </w:style>
  <w:style w:type="paragraph" w:styleId="CommentText">
    <w:name w:val="annotation text"/>
    <w:basedOn w:val="Normal"/>
    <w:link w:val="CommentTextChar"/>
    <w:uiPriority w:val="99"/>
    <w:semiHidden/>
    <w:unhideWhenUsed/>
    <w:rsid w:val="00A833DF"/>
    <w:pPr>
      <w:spacing w:line="240" w:lineRule="auto"/>
    </w:pPr>
    <w:rPr>
      <w:sz w:val="20"/>
      <w:szCs w:val="20"/>
    </w:rPr>
  </w:style>
  <w:style w:type="character" w:customStyle="1" w:styleId="CommentTextChar">
    <w:name w:val="Comment Text Char"/>
    <w:basedOn w:val="DefaultParagraphFont"/>
    <w:link w:val="CommentText"/>
    <w:uiPriority w:val="99"/>
    <w:semiHidden/>
    <w:rsid w:val="00A833DF"/>
    <w:rPr>
      <w:sz w:val="20"/>
      <w:szCs w:val="20"/>
    </w:rPr>
  </w:style>
  <w:style w:type="paragraph" w:styleId="CommentSubject">
    <w:name w:val="annotation subject"/>
    <w:basedOn w:val="CommentText"/>
    <w:next w:val="CommentText"/>
    <w:link w:val="CommentSubjectChar"/>
    <w:uiPriority w:val="99"/>
    <w:semiHidden/>
    <w:unhideWhenUsed/>
    <w:rsid w:val="00A833DF"/>
    <w:rPr>
      <w:b/>
      <w:bCs/>
    </w:rPr>
  </w:style>
  <w:style w:type="character" w:customStyle="1" w:styleId="CommentSubjectChar">
    <w:name w:val="Comment Subject Char"/>
    <w:basedOn w:val="CommentTextChar"/>
    <w:link w:val="CommentSubject"/>
    <w:uiPriority w:val="99"/>
    <w:semiHidden/>
    <w:rsid w:val="00A833DF"/>
    <w:rPr>
      <w:b/>
      <w:bCs/>
      <w:sz w:val="20"/>
      <w:szCs w:val="20"/>
    </w:rPr>
  </w:style>
  <w:style w:type="paragraph" w:styleId="BalloonText">
    <w:name w:val="Balloon Text"/>
    <w:basedOn w:val="Normal"/>
    <w:link w:val="BalloonTextChar"/>
    <w:uiPriority w:val="99"/>
    <w:semiHidden/>
    <w:unhideWhenUsed/>
    <w:rsid w:val="00A8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DF"/>
    <w:rPr>
      <w:rFonts w:ascii="Segoe UI" w:hAnsi="Segoe UI" w:cs="Segoe UI"/>
      <w:sz w:val="18"/>
      <w:szCs w:val="18"/>
    </w:rPr>
  </w:style>
  <w:style w:type="paragraph" w:styleId="Header">
    <w:name w:val="header"/>
    <w:basedOn w:val="Normal"/>
    <w:link w:val="HeaderChar"/>
    <w:uiPriority w:val="99"/>
    <w:unhideWhenUsed/>
    <w:rsid w:val="0020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9C"/>
  </w:style>
  <w:style w:type="paragraph" w:styleId="Footer">
    <w:name w:val="footer"/>
    <w:basedOn w:val="Normal"/>
    <w:link w:val="FooterChar"/>
    <w:uiPriority w:val="99"/>
    <w:unhideWhenUsed/>
    <w:rsid w:val="0020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7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B8"/>
    <w:pPr>
      <w:ind w:left="720"/>
      <w:contextualSpacing/>
    </w:pPr>
  </w:style>
  <w:style w:type="paragraph" w:styleId="NormalWeb">
    <w:name w:val="Normal (Web)"/>
    <w:basedOn w:val="Normal"/>
    <w:uiPriority w:val="99"/>
    <w:semiHidden/>
    <w:unhideWhenUsed/>
    <w:rsid w:val="006A7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77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57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7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833DF"/>
    <w:rPr>
      <w:sz w:val="16"/>
      <w:szCs w:val="16"/>
    </w:rPr>
  </w:style>
  <w:style w:type="paragraph" w:styleId="CommentText">
    <w:name w:val="annotation text"/>
    <w:basedOn w:val="Normal"/>
    <w:link w:val="CommentTextChar"/>
    <w:uiPriority w:val="99"/>
    <w:semiHidden/>
    <w:unhideWhenUsed/>
    <w:rsid w:val="00A833DF"/>
    <w:pPr>
      <w:spacing w:line="240" w:lineRule="auto"/>
    </w:pPr>
    <w:rPr>
      <w:sz w:val="20"/>
      <w:szCs w:val="20"/>
    </w:rPr>
  </w:style>
  <w:style w:type="character" w:customStyle="1" w:styleId="CommentTextChar">
    <w:name w:val="Comment Text Char"/>
    <w:basedOn w:val="DefaultParagraphFont"/>
    <w:link w:val="CommentText"/>
    <w:uiPriority w:val="99"/>
    <w:semiHidden/>
    <w:rsid w:val="00A833DF"/>
    <w:rPr>
      <w:sz w:val="20"/>
      <w:szCs w:val="20"/>
    </w:rPr>
  </w:style>
  <w:style w:type="paragraph" w:styleId="CommentSubject">
    <w:name w:val="annotation subject"/>
    <w:basedOn w:val="CommentText"/>
    <w:next w:val="CommentText"/>
    <w:link w:val="CommentSubjectChar"/>
    <w:uiPriority w:val="99"/>
    <w:semiHidden/>
    <w:unhideWhenUsed/>
    <w:rsid w:val="00A833DF"/>
    <w:rPr>
      <w:b/>
      <w:bCs/>
    </w:rPr>
  </w:style>
  <w:style w:type="character" w:customStyle="1" w:styleId="CommentSubjectChar">
    <w:name w:val="Comment Subject Char"/>
    <w:basedOn w:val="CommentTextChar"/>
    <w:link w:val="CommentSubject"/>
    <w:uiPriority w:val="99"/>
    <w:semiHidden/>
    <w:rsid w:val="00A833DF"/>
    <w:rPr>
      <w:b/>
      <w:bCs/>
      <w:sz w:val="20"/>
      <w:szCs w:val="20"/>
    </w:rPr>
  </w:style>
  <w:style w:type="paragraph" w:styleId="BalloonText">
    <w:name w:val="Balloon Text"/>
    <w:basedOn w:val="Normal"/>
    <w:link w:val="BalloonTextChar"/>
    <w:uiPriority w:val="99"/>
    <w:semiHidden/>
    <w:unhideWhenUsed/>
    <w:rsid w:val="00A8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DF"/>
    <w:rPr>
      <w:rFonts w:ascii="Segoe UI" w:hAnsi="Segoe UI" w:cs="Segoe UI"/>
      <w:sz w:val="18"/>
      <w:szCs w:val="18"/>
    </w:rPr>
  </w:style>
  <w:style w:type="paragraph" w:styleId="Header">
    <w:name w:val="header"/>
    <w:basedOn w:val="Normal"/>
    <w:link w:val="HeaderChar"/>
    <w:uiPriority w:val="99"/>
    <w:unhideWhenUsed/>
    <w:rsid w:val="00203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9C"/>
  </w:style>
  <w:style w:type="paragraph" w:styleId="Footer">
    <w:name w:val="footer"/>
    <w:basedOn w:val="Normal"/>
    <w:link w:val="FooterChar"/>
    <w:uiPriority w:val="99"/>
    <w:unhideWhenUsed/>
    <w:rsid w:val="00203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027">
      <w:bodyDiv w:val="1"/>
      <w:marLeft w:val="0"/>
      <w:marRight w:val="0"/>
      <w:marTop w:val="0"/>
      <w:marBottom w:val="0"/>
      <w:divBdr>
        <w:top w:val="none" w:sz="0" w:space="0" w:color="auto"/>
        <w:left w:val="none" w:sz="0" w:space="0" w:color="auto"/>
        <w:bottom w:val="none" w:sz="0" w:space="0" w:color="auto"/>
        <w:right w:val="none" w:sz="0" w:space="0" w:color="auto"/>
      </w:divBdr>
    </w:div>
    <w:div w:id="262494644">
      <w:bodyDiv w:val="1"/>
      <w:marLeft w:val="0"/>
      <w:marRight w:val="0"/>
      <w:marTop w:val="0"/>
      <w:marBottom w:val="0"/>
      <w:divBdr>
        <w:top w:val="none" w:sz="0" w:space="0" w:color="auto"/>
        <w:left w:val="none" w:sz="0" w:space="0" w:color="auto"/>
        <w:bottom w:val="none" w:sz="0" w:space="0" w:color="auto"/>
        <w:right w:val="none" w:sz="0" w:space="0" w:color="auto"/>
      </w:divBdr>
    </w:div>
    <w:div w:id="301732093">
      <w:bodyDiv w:val="1"/>
      <w:marLeft w:val="0"/>
      <w:marRight w:val="0"/>
      <w:marTop w:val="0"/>
      <w:marBottom w:val="0"/>
      <w:divBdr>
        <w:top w:val="none" w:sz="0" w:space="0" w:color="auto"/>
        <w:left w:val="none" w:sz="0" w:space="0" w:color="auto"/>
        <w:bottom w:val="none" w:sz="0" w:space="0" w:color="auto"/>
        <w:right w:val="none" w:sz="0" w:space="0" w:color="auto"/>
      </w:divBdr>
    </w:div>
    <w:div w:id="787700241">
      <w:bodyDiv w:val="1"/>
      <w:marLeft w:val="0"/>
      <w:marRight w:val="0"/>
      <w:marTop w:val="0"/>
      <w:marBottom w:val="0"/>
      <w:divBdr>
        <w:top w:val="none" w:sz="0" w:space="0" w:color="auto"/>
        <w:left w:val="none" w:sz="0" w:space="0" w:color="auto"/>
        <w:bottom w:val="none" w:sz="0" w:space="0" w:color="auto"/>
        <w:right w:val="none" w:sz="0" w:space="0" w:color="auto"/>
      </w:divBdr>
    </w:div>
    <w:div w:id="988829570">
      <w:bodyDiv w:val="1"/>
      <w:marLeft w:val="0"/>
      <w:marRight w:val="0"/>
      <w:marTop w:val="0"/>
      <w:marBottom w:val="0"/>
      <w:divBdr>
        <w:top w:val="none" w:sz="0" w:space="0" w:color="auto"/>
        <w:left w:val="none" w:sz="0" w:space="0" w:color="auto"/>
        <w:bottom w:val="none" w:sz="0" w:space="0" w:color="auto"/>
        <w:right w:val="none" w:sz="0" w:space="0" w:color="auto"/>
      </w:divBdr>
    </w:div>
    <w:div w:id="1184055135">
      <w:bodyDiv w:val="1"/>
      <w:marLeft w:val="0"/>
      <w:marRight w:val="0"/>
      <w:marTop w:val="0"/>
      <w:marBottom w:val="0"/>
      <w:divBdr>
        <w:top w:val="none" w:sz="0" w:space="0" w:color="auto"/>
        <w:left w:val="none" w:sz="0" w:space="0" w:color="auto"/>
        <w:bottom w:val="none" w:sz="0" w:space="0" w:color="auto"/>
        <w:right w:val="none" w:sz="0" w:space="0" w:color="auto"/>
      </w:divBdr>
    </w:div>
    <w:div w:id="1245995782">
      <w:bodyDiv w:val="1"/>
      <w:marLeft w:val="0"/>
      <w:marRight w:val="0"/>
      <w:marTop w:val="0"/>
      <w:marBottom w:val="0"/>
      <w:divBdr>
        <w:top w:val="none" w:sz="0" w:space="0" w:color="auto"/>
        <w:left w:val="none" w:sz="0" w:space="0" w:color="auto"/>
        <w:bottom w:val="none" w:sz="0" w:space="0" w:color="auto"/>
        <w:right w:val="none" w:sz="0" w:space="0" w:color="auto"/>
      </w:divBdr>
    </w:div>
    <w:div w:id="1323197569">
      <w:bodyDiv w:val="1"/>
      <w:marLeft w:val="0"/>
      <w:marRight w:val="0"/>
      <w:marTop w:val="0"/>
      <w:marBottom w:val="0"/>
      <w:divBdr>
        <w:top w:val="none" w:sz="0" w:space="0" w:color="auto"/>
        <w:left w:val="none" w:sz="0" w:space="0" w:color="auto"/>
        <w:bottom w:val="none" w:sz="0" w:space="0" w:color="auto"/>
        <w:right w:val="none" w:sz="0" w:space="0" w:color="auto"/>
      </w:divBdr>
    </w:div>
    <w:div w:id="1496992409">
      <w:bodyDiv w:val="1"/>
      <w:marLeft w:val="0"/>
      <w:marRight w:val="0"/>
      <w:marTop w:val="0"/>
      <w:marBottom w:val="0"/>
      <w:divBdr>
        <w:top w:val="none" w:sz="0" w:space="0" w:color="auto"/>
        <w:left w:val="none" w:sz="0" w:space="0" w:color="auto"/>
        <w:bottom w:val="none" w:sz="0" w:space="0" w:color="auto"/>
        <w:right w:val="none" w:sz="0" w:space="0" w:color="auto"/>
      </w:divBdr>
    </w:div>
    <w:div w:id="1505172893">
      <w:bodyDiv w:val="1"/>
      <w:marLeft w:val="0"/>
      <w:marRight w:val="0"/>
      <w:marTop w:val="0"/>
      <w:marBottom w:val="0"/>
      <w:divBdr>
        <w:top w:val="none" w:sz="0" w:space="0" w:color="auto"/>
        <w:left w:val="none" w:sz="0" w:space="0" w:color="auto"/>
        <w:bottom w:val="none" w:sz="0" w:space="0" w:color="auto"/>
        <w:right w:val="none" w:sz="0" w:space="0" w:color="auto"/>
      </w:divBdr>
      <w:divsChild>
        <w:div w:id="1324158630">
          <w:marLeft w:val="0"/>
          <w:marRight w:val="0"/>
          <w:marTop w:val="0"/>
          <w:marBottom w:val="0"/>
          <w:divBdr>
            <w:top w:val="none" w:sz="0" w:space="0" w:color="auto"/>
            <w:left w:val="none" w:sz="0" w:space="0" w:color="auto"/>
            <w:bottom w:val="none" w:sz="0" w:space="0" w:color="auto"/>
            <w:right w:val="none" w:sz="0" w:space="0" w:color="auto"/>
          </w:divBdr>
          <w:divsChild>
            <w:div w:id="27265413">
              <w:marLeft w:val="0"/>
              <w:marRight w:val="0"/>
              <w:marTop w:val="0"/>
              <w:marBottom w:val="0"/>
              <w:divBdr>
                <w:top w:val="none" w:sz="0" w:space="0" w:color="auto"/>
                <w:left w:val="none" w:sz="0" w:space="0" w:color="auto"/>
                <w:bottom w:val="none" w:sz="0" w:space="0" w:color="auto"/>
                <w:right w:val="none" w:sz="0" w:space="0" w:color="auto"/>
              </w:divBdr>
              <w:divsChild>
                <w:div w:id="20716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4779">
          <w:marLeft w:val="0"/>
          <w:marRight w:val="0"/>
          <w:marTop w:val="0"/>
          <w:marBottom w:val="0"/>
          <w:divBdr>
            <w:top w:val="none" w:sz="0" w:space="0" w:color="auto"/>
            <w:left w:val="none" w:sz="0" w:space="0" w:color="auto"/>
            <w:bottom w:val="none" w:sz="0" w:space="0" w:color="auto"/>
            <w:right w:val="none" w:sz="0" w:space="0" w:color="auto"/>
          </w:divBdr>
          <w:divsChild>
            <w:div w:id="479275872">
              <w:marLeft w:val="0"/>
              <w:marRight w:val="0"/>
              <w:marTop w:val="0"/>
              <w:marBottom w:val="0"/>
              <w:divBdr>
                <w:top w:val="none" w:sz="0" w:space="0" w:color="auto"/>
                <w:left w:val="none" w:sz="0" w:space="0" w:color="auto"/>
                <w:bottom w:val="none" w:sz="0" w:space="0" w:color="auto"/>
                <w:right w:val="none" w:sz="0" w:space="0" w:color="auto"/>
              </w:divBdr>
              <w:divsChild>
                <w:div w:id="5521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8726">
      <w:bodyDiv w:val="1"/>
      <w:marLeft w:val="0"/>
      <w:marRight w:val="0"/>
      <w:marTop w:val="0"/>
      <w:marBottom w:val="0"/>
      <w:divBdr>
        <w:top w:val="none" w:sz="0" w:space="0" w:color="auto"/>
        <w:left w:val="none" w:sz="0" w:space="0" w:color="auto"/>
        <w:bottom w:val="none" w:sz="0" w:space="0" w:color="auto"/>
        <w:right w:val="none" w:sz="0" w:space="0" w:color="auto"/>
      </w:divBdr>
    </w:div>
    <w:div w:id="16946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14AA-1C5E-41A2-9996-E766B233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Maziarz</dc:creator>
  <cp:lastModifiedBy>BFS User</cp:lastModifiedBy>
  <cp:revision>3</cp:revision>
  <cp:lastPrinted>2017-11-30T18:52:00Z</cp:lastPrinted>
  <dcterms:created xsi:type="dcterms:W3CDTF">2017-11-30T19:03:00Z</dcterms:created>
  <dcterms:modified xsi:type="dcterms:W3CDTF">2017-11-30T20:33:00Z</dcterms:modified>
</cp:coreProperties>
</file>