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53B38053" w:rsidR="00F52182" w:rsidRPr="00E047A3" w:rsidRDefault="00A006D2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USSGL Board Member Survey</w:t>
      </w:r>
      <w:r w:rsidR="000B16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Follow Up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0A45C87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40422050" w14:textId="67AF0686" w:rsidR="00A006D2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Timeline:</w:t>
      </w:r>
    </w:p>
    <w:p w14:paraId="78C56C9E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0D2835A2" w14:textId="01A865F8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April 18</w:t>
      </w:r>
      <w:r w:rsidRPr="00A006D2">
        <w:rPr>
          <w:vertAlign w:val="superscript"/>
        </w:rPr>
        <w:t>th</w:t>
      </w:r>
      <w:r w:rsidRPr="00A006D2">
        <w:t xml:space="preserve"> IRC – Present draft versions of questions</w:t>
      </w:r>
      <w:r w:rsidR="003A7795">
        <w:t>.</w:t>
      </w:r>
    </w:p>
    <w:p w14:paraId="1B1F645D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7D4FCCEC" w14:textId="1867C354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April 18</w:t>
      </w:r>
      <w:r w:rsidRPr="00A006D2">
        <w:rPr>
          <w:vertAlign w:val="superscript"/>
        </w:rPr>
        <w:t>th</w:t>
      </w:r>
      <w:r w:rsidRPr="00A006D2">
        <w:t xml:space="preserve"> through April 26</w:t>
      </w:r>
      <w:r w:rsidRPr="00A006D2">
        <w:rPr>
          <w:vertAlign w:val="superscript"/>
        </w:rPr>
        <w:t>th</w:t>
      </w:r>
      <w:r w:rsidRPr="00A006D2">
        <w:t xml:space="preserve"> – Gather feedback on additional questions.</w:t>
      </w:r>
    </w:p>
    <w:p w14:paraId="7A19CEBB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2A0B60EF" w14:textId="345C8A3A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May 1</w:t>
      </w:r>
      <w:r w:rsidRPr="00A006D2">
        <w:rPr>
          <w:vertAlign w:val="superscript"/>
        </w:rPr>
        <w:t>st</w:t>
      </w:r>
      <w:r w:rsidRPr="00A006D2">
        <w:t xml:space="preserve"> – Present the Survey at USSGL Board Meeting</w:t>
      </w:r>
      <w:r w:rsidR="003A7795">
        <w:t>.</w:t>
      </w:r>
    </w:p>
    <w:p w14:paraId="0A007087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17701A9C" w14:textId="0C00D4D0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May 1</w:t>
      </w:r>
      <w:r w:rsidRPr="00A006D2">
        <w:rPr>
          <w:vertAlign w:val="superscript"/>
        </w:rPr>
        <w:t>st</w:t>
      </w:r>
      <w:r w:rsidRPr="00A006D2">
        <w:t xml:space="preserve"> – Distribute survey monkey link to USSGL Board Members.</w:t>
      </w:r>
    </w:p>
    <w:p w14:paraId="34CC6B14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7CDE489E" w14:textId="4BC52F6F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May 15</w:t>
      </w:r>
      <w:r w:rsidRPr="00A006D2">
        <w:rPr>
          <w:vertAlign w:val="superscript"/>
        </w:rPr>
        <w:t>th</w:t>
      </w:r>
      <w:r w:rsidRPr="00A006D2">
        <w:t xml:space="preserve"> – Deadline to complete survey.</w:t>
      </w:r>
    </w:p>
    <w:p w14:paraId="7AFA8A4B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0703026E" w14:textId="288D6528" w:rsid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After May 15</w:t>
      </w:r>
      <w:r w:rsidRPr="00A006D2">
        <w:rPr>
          <w:vertAlign w:val="superscript"/>
        </w:rPr>
        <w:t>th</w:t>
      </w:r>
      <w:r w:rsidRPr="00A006D2">
        <w:t xml:space="preserve"> – Follow up on survey responses.</w:t>
      </w:r>
    </w:p>
    <w:p w14:paraId="28C2BED8" w14:textId="77777777" w:rsidR="00B83256" w:rsidRDefault="00B83256" w:rsidP="005570DB">
      <w:pPr>
        <w:autoSpaceDE w:val="0"/>
        <w:autoSpaceDN w:val="0"/>
        <w:adjustRightInd w:val="0"/>
        <w:spacing w:after="0" w:line="240" w:lineRule="auto"/>
      </w:pPr>
    </w:p>
    <w:p w14:paraId="34F5A892" w14:textId="7D5E39C0" w:rsidR="00B83256" w:rsidRDefault="00B83256" w:rsidP="005570DB">
      <w:pPr>
        <w:autoSpaceDE w:val="0"/>
        <w:autoSpaceDN w:val="0"/>
        <w:adjustRightInd w:val="0"/>
        <w:spacing w:after="0" w:line="240" w:lineRule="auto"/>
      </w:pPr>
      <w:r>
        <w:t>December (Annual Publish) – For any items that we act on, the annual publish in December will be the appropriate starting point if feasible.</w:t>
      </w:r>
    </w:p>
    <w:p w14:paraId="3CDD7411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09B5B683" w14:textId="3C29F5CA" w:rsidR="00A006D2" w:rsidRPr="003A7795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3A7795">
        <w:rPr>
          <w:u w:val="single"/>
        </w:rPr>
        <w:t>Questions</w:t>
      </w:r>
      <w:r w:rsidR="000B16F7">
        <w:rPr>
          <w:u w:val="single"/>
        </w:rPr>
        <w:t xml:space="preserve"> for USSGL Board Members</w:t>
      </w:r>
      <w:r w:rsidRPr="003A7795">
        <w:rPr>
          <w:u w:val="single"/>
        </w:rPr>
        <w:t>:</w:t>
      </w:r>
    </w:p>
    <w:p w14:paraId="72846FF4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59B1D8D5" w14:textId="77777777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Are there existing TFM Sections that you’d like to see in a different file format to facilitate agency accounting systems or other needs? (i.e. Excel, Access, web-based)</w:t>
      </w:r>
    </w:p>
    <w:p w14:paraId="16D83E58" w14:textId="77777777" w:rsidR="00A006D2" w:rsidRDefault="00A006D2" w:rsidP="00A006D2"/>
    <w:p w14:paraId="00DC7D14" w14:textId="77777777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Are there current TFM Sections that your agency does not use/does not find useful?</w:t>
      </w:r>
    </w:p>
    <w:p w14:paraId="25B72A34" w14:textId="77777777" w:rsidR="00A006D2" w:rsidRDefault="00A006D2" w:rsidP="00A006D2"/>
    <w:p w14:paraId="7EDAE0BC" w14:textId="3D06EE73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Is there USSGL, Financial Statement, or GTAS data on which your agency depends, but is not currently available in the USSGL TFM Supplement</w:t>
      </w:r>
      <w:r w:rsidR="00A26DD9">
        <w:rPr>
          <w:rFonts w:eastAsia="Times New Roman"/>
        </w:rPr>
        <w:t>, or your agency must manually adjust to fit its needs</w:t>
      </w:r>
      <w:r>
        <w:rPr>
          <w:rFonts w:eastAsia="Times New Roman"/>
        </w:rPr>
        <w:t>?</w:t>
      </w:r>
    </w:p>
    <w:p w14:paraId="2DEC7B74" w14:textId="77777777" w:rsidR="00A006D2" w:rsidRDefault="00A006D2" w:rsidP="00A006D2">
      <w:pPr>
        <w:pStyle w:val="ListParagraph"/>
      </w:pPr>
    </w:p>
    <w:p w14:paraId="6448E9A1" w14:textId="77777777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have any concerns with the display and/or usefulness of the USSGL TFM Supplement website?</w:t>
      </w:r>
    </w:p>
    <w:p w14:paraId="3934A89E" w14:textId="77777777" w:rsidR="00A006D2" w:rsidRPr="00A006D2" w:rsidRDefault="00A006D2" w:rsidP="00A006D2">
      <w:pPr>
        <w:pStyle w:val="ListParagraph"/>
        <w:rPr>
          <w:rFonts w:eastAsia="Times New Roman"/>
        </w:rPr>
      </w:pPr>
    </w:p>
    <w:p w14:paraId="56CE08CE" w14:textId="27C5E358" w:rsidR="00A006D2" w:rsidRDefault="00654849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feel the combined file within the TFM supplement is useful?</w:t>
      </w:r>
    </w:p>
    <w:p w14:paraId="3CD70058" w14:textId="77777777" w:rsidR="00654849" w:rsidRPr="00654849" w:rsidRDefault="00654849" w:rsidP="00654849">
      <w:pPr>
        <w:pStyle w:val="ListParagraph"/>
        <w:rPr>
          <w:rFonts w:eastAsia="Times New Roman"/>
        </w:rPr>
      </w:pPr>
    </w:p>
    <w:p w14:paraId="7B67167F" w14:textId="0415B28E" w:rsidR="00654849" w:rsidRDefault="004B1EEB" w:rsidP="00654849">
      <w:pPr>
        <w:pStyle w:val="ListParagraph"/>
        <w:spacing w:after="0" w:line="240" w:lineRule="auto"/>
        <w:contextualSpacing w:val="0"/>
      </w:pPr>
      <w:hyperlink r:id="rId8" w:history="1">
        <w:r w:rsidR="00654849">
          <w:rPr>
            <w:rStyle w:val="Hyperlink"/>
          </w:rPr>
          <w:t>Part 1 Fiscal Year 2024 Reporting | TFX: Treasury Financial Experience</w:t>
        </w:r>
      </w:hyperlink>
    </w:p>
    <w:p w14:paraId="01B8EA51" w14:textId="77777777" w:rsidR="00654849" w:rsidRDefault="00654849" w:rsidP="00654849">
      <w:pPr>
        <w:pStyle w:val="ListParagraph"/>
        <w:spacing w:after="0" w:line="240" w:lineRule="auto"/>
        <w:contextualSpacing w:val="0"/>
      </w:pPr>
    </w:p>
    <w:p w14:paraId="168F173E" w14:textId="197CB9ED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60F5695A" wp14:editId="67EBF9CE">
            <wp:extent cx="5943600" cy="3033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2719" w14:textId="77777777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49711BA" w14:textId="5A13D61A" w:rsidR="00654849" w:rsidRDefault="00654849" w:rsidP="0065484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feel the Transactions Listing within Section III of the TFM is useful?</w:t>
      </w:r>
    </w:p>
    <w:p w14:paraId="74A2507E" w14:textId="77777777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62FDDB6" w14:textId="6392B799" w:rsidR="00654849" w:rsidRDefault="004B1EEB" w:rsidP="00654849">
      <w:pPr>
        <w:pStyle w:val="ListParagraph"/>
        <w:spacing w:after="0" w:line="240" w:lineRule="auto"/>
        <w:contextualSpacing w:val="0"/>
      </w:pPr>
      <w:hyperlink r:id="rId10" w:anchor="Section-III" w:history="1">
        <w:r w:rsidR="00654849">
          <w:rPr>
            <w:rStyle w:val="Hyperlink"/>
          </w:rPr>
          <w:t>Part 1 Fiscal Year 2024 Reporting | TFX: Treasury Financial Experience</w:t>
        </w:r>
      </w:hyperlink>
    </w:p>
    <w:p w14:paraId="140D5416" w14:textId="77777777" w:rsidR="00654849" w:rsidRDefault="00654849" w:rsidP="00654849">
      <w:pPr>
        <w:pStyle w:val="ListParagraph"/>
        <w:spacing w:after="0" w:line="240" w:lineRule="auto"/>
        <w:contextualSpacing w:val="0"/>
      </w:pPr>
    </w:p>
    <w:p w14:paraId="1109E6DB" w14:textId="2F4FEB52" w:rsidR="00654849" w:rsidRDefault="003A7795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drawing>
          <wp:inline distT="0" distB="0" distL="0" distR="0" wp14:anchorId="280385DA" wp14:editId="62C185A9">
            <wp:extent cx="594360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535C" w14:textId="77777777" w:rsidR="003A7795" w:rsidRDefault="003A7795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54AE32FB" w14:textId="14E4793A" w:rsidR="00A006D2" w:rsidRDefault="003A7795" w:rsidP="003A7795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1C0B5008" wp14:editId="5CD3F20D">
            <wp:extent cx="6010275" cy="21723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555B" w14:textId="77777777" w:rsidR="003A7795" w:rsidRDefault="003A7795" w:rsidP="003A7795">
      <w:pPr>
        <w:autoSpaceDE w:val="0"/>
        <w:autoSpaceDN w:val="0"/>
        <w:adjustRightInd w:val="0"/>
        <w:spacing w:after="0" w:line="240" w:lineRule="auto"/>
        <w:ind w:firstLine="720"/>
      </w:pPr>
    </w:p>
    <w:p w14:paraId="450DE7F6" w14:textId="533DE8F1" w:rsidR="003A7795" w:rsidRPr="00B83256" w:rsidRDefault="000B16F7" w:rsidP="003A7795">
      <w:pPr>
        <w:pStyle w:val="ListParagraph"/>
        <w:autoSpaceDE w:val="0"/>
        <w:autoSpaceDN w:val="0"/>
        <w:adjustRightInd w:val="0"/>
        <w:spacing w:after="0" w:line="240" w:lineRule="auto"/>
        <w:rPr>
          <w:u w:val="single"/>
        </w:rPr>
      </w:pPr>
      <w:r w:rsidRPr="00B83256">
        <w:rPr>
          <w:u w:val="single"/>
        </w:rPr>
        <w:lastRenderedPageBreak/>
        <w:t>Results</w:t>
      </w:r>
      <w:r w:rsidR="00B83256" w:rsidRPr="00B83256">
        <w:rPr>
          <w:u w:val="single"/>
        </w:rPr>
        <w:t>/Action</w:t>
      </w:r>
      <w:r w:rsidRPr="00B83256">
        <w:rPr>
          <w:u w:val="single"/>
        </w:rPr>
        <w:t>:</w:t>
      </w:r>
    </w:p>
    <w:p w14:paraId="2EA37822" w14:textId="77777777" w:rsidR="000B16F7" w:rsidRDefault="000B16F7" w:rsidP="003A7795">
      <w:pPr>
        <w:pStyle w:val="ListParagraph"/>
        <w:autoSpaceDE w:val="0"/>
        <w:autoSpaceDN w:val="0"/>
        <w:adjustRightInd w:val="0"/>
        <w:spacing w:after="0" w:line="240" w:lineRule="auto"/>
      </w:pPr>
    </w:p>
    <w:p w14:paraId="6D5A0F4B" w14:textId="3BCCCD2B" w:rsidR="000B16F7" w:rsidRDefault="000B16F7" w:rsidP="000B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16 out of 25 Board Members participated.</w:t>
      </w:r>
    </w:p>
    <w:p w14:paraId="1A3BE00D" w14:textId="58F9A46B" w:rsidR="000B16F7" w:rsidRDefault="000B16F7" w:rsidP="000B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Members would like to see all sections in excel, pdf, and word.</w:t>
      </w:r>
    </w:p>
    <w:p w14:paraId="4894E442" w14:textId="2D440293" w:rsidR="000B16F7" w:rsidRDefault="000B16F7" w:rsidP="000B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More transparent with our planned </w:t>
      </w:r>
      <w:r w:rsidR="00B83256">
        <w:t xml:space="preserve">TFM USSGL </w:t>
      </w:r>
      <w:r>
        <w:t xml:space="preserve">publish schedule and planned IRC </w:t>
      </w:r>
      <w:r w:rsidR="00B83256">
        <w:t xml:space="preserve">meeting </w:t>
      </w:r>
      <w:r>
        <w:t>schedules.</w:t>
      </w:r>
    </w:p>
    <w:p w14:paraId="73458A2F" w14:textId="35AE6454" w:rsidR="000B16F7" w:rsidRDefault="000B16F7" w:rsidP="000B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 simplified USSGL closing table.</w:t>
      </w:r>
    </w:p>
    <w:p w14:paraId="6121758A" w14:textId="79943FFF" w:rsidR="00B83256" w:rsidRDefault="000B16F7" w:rsidP="00B832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Better links between USSGL crosswalks</w:t>
      </w:r>
      <w:r w:rsidR="00B83256">
        <w:t>, USSGL scenarios, and transaction codes.</w:t>
      </w:r>
    </w:p>
    <w:p w14:paraId="2DFD8AEB" w14:textId="066FD3B6" w:rsidR="00B83256" w:rsidRDefault="00B83256" w:rsidP="000B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Do Not want the combined file removed.</w:t>
      </w:r>
    </w:p>
    <w:p w14:paraId="71FECFB5" w14:textId="091E3AF9" w:rsidR="00B83256" w:rsidRDefault="00B83256" w:rsidP="000B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Do Not want the transaction listing in Section III removed (did get quite a few stating they do not use this piece at all).</w:t>
      </w:r>
    </w:p>
    <w:p w14:paraId="7D06E402" w14:textId="77777777" w:rsidR="00B83256" w:rsidRDefault="00B83256" w:rsidP="00B83256">
      <w:pPr>
        <w:autoSpaceDE w:val="0"/>
        <w:autoSpaceDN w:val="0"/>
        <w:adjustRightInd w:val="0"/>
        <w:spacing w:after="0" w:line="240" w:lineRule="auto"/>
      </w:pPr>
    </w:p>
    <w:p w14:paraId="55EBE192" w14:textId="77777777" w:rsidR="00B83256" w:rsidRPr="00A006D2" w:rsidRDefault="00B83256" w:rsidP="00B83256">
      <w:pPr>
        <w:autoSpaceDE w:val="0"/>
        <w:autoSpaceDN w:val="0"/>
        <w:adjustRightInd w:val="0"/>
        <w:spacing w:after="0" w:line="240" w:lineRule="auto"/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4F06EA45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E3A07" w14:textId="5DA97372" w:rsidR="00084578" w:rsidRPr="001C051C" w:rsidRDefault="00084578" w:rsidP="001C05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84578" w:rsidRPr="001C051C" w:rsidSect="007D4D75">
      <w:headerReference w:type="default" r:id="rId13"/>
      <w:footerReference w:type="defaul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1F4B58F5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1C051C">
              <w:rPr>
                <w:b/>
                <w:bCs/>
              </w:rPr>
              <w:t>0</w:t>
            </w:r>
            <w:r w:rsidR="000B16F7">
              <w:rPr>
                <w:b/>
                <w:bCs/>
              </w:rPr>
              <w:t>8</w:t>
            </w:r>
            <w:r w:rsidRPr="00745D48">
              <w:rPr>
                <w:b/>
                <w:bCs/>
              </w:rPr>
              <w:t>/</w:t>
            </w:r>
            <w:r w:rsidR="000B16F7">
              <w:rPr>
                <w:b/>
                <w:bCs/>
              </w:rPr>
              <w:t>21</w:t>
            </w:r>
            <w:r w:rsidRPr="00745D48">
              <w:rPr>
                <w:b/>
                <w:bCs/>
              </w:rPr>
              <w:t>/202</w:t>
            </w:r>
            <w:r w:rsidR="001C051C"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24986"/>
      <w:docPartObj>
        <w:docPartGallery w:val="Watermarks"/>
        <w:docPartUnique/>
      </w:docPartObj>
    </w:sdtPr>
    <w:sdtEndPr/>
    <w:sdtContent>
      <w:p w14:paraId="3F85525B" w14:textId="398C76B1" w:rsidR="002D2F9B" w:rsidRDefault="004B1EEB">
        <w:pPr>
          <w:pStyle w:val="Header"/>
        </w:pPr>
        <w:r>
          <w:rPr>
            <w:noProof/>
          </w:rPr>
          <w:pict w14:anchorId="767F84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5662"/>
    <w:multiLevelType w:val="hybridMultilevel"/>
    <w:tmpl w:val="7D4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  <w:num w:numId="2" w16cid:durableId="65943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B16F7"/>
    <w:rsid w:val="000C0BDE"/>
    <w:rsid w:val="000C10C6"/>
    <w:rsid w:val="001C051C"/>
    <w:rsid w:val="001C3B89"/>
    <w:rsid w:val="001D2FAF"/>
    <w:rsid w:val="001F5408"/>
    <w:rsid w:val="00261747"/>
    <w:rsid w:val="002B00EE"/>
    <w:rsid w:val="002B301B"/>
    <w:rsid w:val="002D2F9B"/>
    <w:rsid w:val="00343BB0"/>
    <w:rsid w:val="00381CE8"/>
    <w:rsid w:val="00383A13"/>
    <w:rsid w:val="003A759C"/>
    <w:rsid w:val="003A7795"/>
    <w:rsid w:val="003B0929"/>
    <w:rsid w:val="003B675E"/>
    <w:rsid w:val="003B7826"/>
    <w:rsid w:val="003C518B"/>
    <w:rsid w:val="003C711F"/>
    <w:rsid w:val="003E7E5B"/>
    <w:rsid w:val="004A7C18"/>
    <w:rsid w:val="004B131E"/>
    <w:rsid w:val="00522642"/>
    <w:rsid w:val="005570DB"/>
    <w:rsid w:val="0058286E"/>
    <w:rsid w:val="0061370D"/>
    <w:rsid w:val="00654849"/>
    <w:rsid w:val="006F1984"/>
    <w:rsid w:val="006F6AB0"/>
    <w:rsid w:val="00703A4E"/>
    <w:rsid w:val="007118E1"/>
    <w:rsid w:val="00736D24"/>
    <w:rsid w:val="00745D48"/>
    <w:rsid w:val="007673FB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006D2"/>
    <w:rsid w:val="00A26DD9"/>
    <w:rsid w:val="00A43F75"/>
    <w:rsid w:val="00A8052A"/>
    <w:rsid w:val="00A87B86"/>
    <w:rsid w:val="00A90A83"/>
    <w:rsid w:val="00A958C2"/>
    <w:rsid w:val="00AA77B5"/>
    <w:rsid w:val="00AC44E3"/>
    <w:rsid w:val="00AE75F2"/>
    <w:rsid w:val="00B26355"/>
    <w:rsid w:val="00B473DD"/>
    <w:rsid w:val="00B55DE8"/>
    <w:rsid w:val="00B72D9C"/>
    <w:rsid w:val="00B83256"/>
    <w:rsid w:val="00BA7024"/>
    <w:rsid w:val="00BB25CF"/>
    <w:rsid w:val="00BC7F64"/>
    <w:rsid w:val="00BD4184"/>
    <w:rsid w:val="00C11201"/>
    <w:rsid w:val="00C174FB"/>
    <w:rsid w:val="00C4296E"/>
    <w:rsid w:val="00C92C7F"/>
    <w:rsid w:val="00C94CC3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243E2"/>
    <w:rsid w:val="00E36D30"/>
    <w:rsid w:val="00E845AE"/>
    <w:rsid w:val="00E90FAD"/>
    <w:rsid w:val="00E92CA0"/>
    <w:rsid w:val="00EC2E49"/>
    <w:rsid w:val="00ED1CC3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x.treasury.gov/tfm/supplements/ussgl/ussgl-part-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fx.treasury.gov/tfm/supplements/ussgl/ussgl-part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85</cp:revision>
  <dcterms:created xsi:type="dcterms:W3CDTF">2023-01-23T17:57:00Z</dcterms:created>
  <dcterms:modified xsi:type="dcterms:W3CDTF">2024-08-16T19:11:00Z</dcterms:modified>
</cp:coreProperties>
</file>