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1613B" w14:textId="27B3DB0A" w:rsidR="00F52182" w:rsidRPr="00C70A55" w:rsidRDefault="00F52182" w:rsidP="00C70A55">
      <w:pPr>
        <w:jc w:val="center"/>
        <w:rPr>
          <w:rFonts w:cstheme="minorHAnsi"/>
          <w:b/>
          <w:bCs/>
          <w:sz w:val="28"/>
          <w:szCs w:val="28"/>
          <w:u w:val="single"/>
        </w:rPr>
      </w:pPr>
      <w:r w:rsidRPr="00C70A55">
        <w:rPr>
          <w:rFonts w:cstheme="minorHAnsi"/>
          <w:b/>
          <w:bCs/>
          <w:sz w:val="28"/>
          <w:szCs w:val="28"/>
          <w:u w:val="single"/>
        </w:rPr>
        <w:t xml:space="preserve">Proprietary </w:t>
      </w:r>
      <w:r w:rsidR="00554987">
        <w:rPr>
          <w:rFonts w:cstheme="minorHAnsi"/>
          <w:b/>
          <w:bCs/>
          <w:sz w:val="28"/>
          <w:szCs w:val="28"/>
          <w:u w:val="single"/>
        </w:rPr>
        <w:t>USSGL</w:t>
      </w:r>
      <w:r w:rsidRPr="00C70A55">
        <w:rPr>
          <w:rFonts w:cstheme="minorHAnsi"/>
          <w:b/>
          <w:bCs/>
          <w:sz w:val="28"/>
          <w:szCs w:val="28"/>
          <w:u w:val="single"/>
        </w:rPr>
        <w:t xml:space="preserve"> </w:t>
      </w:r>
      <w:r w:rsidR="00554987">
        <w:rPr>
          <w:rFonts w:cstheme="minorHAnsi"/>
          <w:b/>
          <w:bCs/>
          <w:sz w:val="28"/>
          <w:szCs w:val="28"/>
          <w:u w:val="single"/>
        </w:rPr>
        <w:t>Account Definition Modifications</w:t>
      </w:r>
      <w:r w:rsidRPr="00C70A55">
        <w:rPr>
          <w:rFonts w:cstheme="minorHAnsi"/>
          <w:b/>
          <w:bCs/>
          <w:sz w:val="28"/>
          <w:szCs w:val="28"/>
          <w:u w:val="single"/>
        </w:rPr>
        <w:t xml:space="preserve"> (</w:t>
      </w:r>
      <w:r w:rsidR="00B84E01">
        <w:rPr>
          <w:rFonts w:cstheme="minorHAnsi"/>
          <w:b/>
          <w:bCs/>
          <w:sz w:val="28"/>
          <w:szCs w:val="28"/>
          <w:u w:val="single"/>
        </w:rPr>
        <w:t xml:space="preserve">Effective </w:t>
      </w:r>
      <w:r w:rsidRPr="00C70A55">
        <w:rPr>
          <w:rFonts w:cstheme="minorHAnsi"/>
          <w:b/>
          <w:bCs/>
          <w:sz w:val="28"/>
          <w:szCs w:val="28"/>
          <w:u w:val="single"/>
        </w:rPr>
        <w:t>FY 202</w:t>
      </w:r>
      <w:r w:rsidR="0053665C">
        <w:rPr>
          <w:rFonts w:cstheme="minorHAnsi"/>
          <w:b/>
          <w:bCs/>
          <w:sz w:val="28"/>
          <w:szCs w:val="28"/>
          <w:u w:val="single"/>
        </w:rPr>
        <w:t>4</w:t>
      </w:r>
      <w:r w:rsidRPr="00C70A55">
        <w:rPr>
          <w:rFonts w:cstheme="minorHAnsi"/>
          <w:b/>
          <w:bCs/>
          <w:sz w:val="28"/>
          <w:szCs w:val="28"/>
          <w:u w:val="single"/>
        </w:rPr>
        <w:t>)</w:t>
      </w:r>
    </w:p>
    <w:p w14:paraId="6AC6A88B" w14:textId="42BA4C1D" w:rsidR="0082203E" w:rsidRDefault="0072601F" w:rsidP="0082203E">
      <w:pPr>
        <w:pStyle w:val="PlainText"/>
        <w:keepNext/>
        <w:keepLines/>
        <w:tabs>
          <w:tab w:val="left" w:pos="660"/>
          <w:tab w:val="left" w:pos="1840"/>
          <w:tab w:val="left" w:pos="2940"/>
          <w:tab w:val="left" w:pos="3140"/>
        </w:tabs>
        <w:jc w:val="both"/>
        <w:rPr>
          <w:rFonts w:asciiTheme="minorHAnsi" w:hAnsiTheme="minorHAnsi" w:cstheme="minorHAnsi"/>
          <w:b/>
          <w:sz w:val="22"/>
          <w:szCs w:val="22"/>
        </w:rPr>
      </w:pPr>
      <w:r>
        <w:rPr>
          <w:rFonts w:asciiTheme="minorHAnsi" w:hAnsiTheme="minorHAnsi" w:cstheme="minorHAnsi"/>
          <w:b/>
          <w:sz w:val="22"/>
          <w:szCs w:val="22"/>
        </w:rPr>
        <w:t>1</w:t>
      </w:r>
      <w:r w:rsidR="00595EA9">
        <w:rPr>
          <w:rFonts w:asciiTheme="minorHAnsi" w:hAnsiTheme="minorHAnsi" w:cstheme="minorHAnsi"/>
          <w:b/>
          <w:sz w:val="22"/>
          <w:szCs w:val="22"/>
        </w:rPr>
        <w:t xml:space="preserve">) </w:t>
      </w:r>
      <w:r w:rsidR="00595EA9">
        <w:rPr>
          <w:rFonts w:asciiTheme="minorHAnsi" w:hAnsiTheme="minorHAnsi" w:cstheme="minorHAnsi"/>
          <w:b/>
          <w:sz w:val="22"/>
          <w:szCs w:val="22"/>
        </w:rPr>
        <w:tab/>
      </w:r>
      <w:r w:rsidR="00A20263">
        <w:rPr>
          <w:rFonts w:asciiTheme="minorHAnsi" w:hAnsiTheme="minorHAnsi" w:cstheme="minorHAnsi"/>
          <w:b/>
          <w:sz w:val="22"/>
          <w:szCs w:val="22"/>
        </w:rPr>
        <w:t>Refund Receivables</w:t>
      </w:r>
    </w:p>
    <w:p w14:paraId="490247A2" w14:textId="77777777" w:rsidR="00595EA9" w:rsidRDefault="00595EA9" w:rsidP="0082203E">
      <w:pPr>
        <w:pStyle w:val="PlainText"/>
        <w:keepNext/>
        <w:keepLines/>
        <w:tabs>
          <w:tab w:val="left" w:pos="660"/>
          <w:tab w:val="left" w:pos="1840"/>
          <w:tab w:val="left" w:pos="2940"/>
          <w:tab w:val="left" w:pos="3140"/>
        </w:tabs>
        <w:jc w:val="both"/>
        <w:rPr>
          <w:rFonts w:asciiTheme="minorHAnsi" w:hAnsiTheme="minorHAnsi" w:cstheme="minorHAnsi"/>
          <w:b/>
          <w:sz w:val="22"/>
          <w:szCs w:val="22"/>
        </w:rPr>
      </w:pPr>
    </w:p>
    <w:p w14:paraId="623CBA88" w14:textId="3DB3D05A" w:rsidR="0082203E" w:rsidRDefault="0082203E" w:rsidP="0082203E">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sidRPr="00554987">
        <w:rPr>
          <w:rFonts w:asciiTheme="minorHAnsi" w:hAnsiTheme="minorHAnsi" w:cstheme="minorHAnsi"/>
          <w:b/>
          <w:sz w:val="22"/>
          <w:szCs w:val="22"/>
        </w:rPr>
        <w:t xml:space="preserve">Account Title: </w:t>
      </w:r>
      <w:r w:rsidR="00C737D2" w:rsidRPr="00C737D2">
        <w:rPr>
          <w:rFonts w:asciiTheme="minorHAnsi" w:hAnsiTheme="minorHAnsi" w:cstheme="minorHAnsi"/>
          <w:bCs/>
          <w:sz w:val="22"/>
          <w:szCs w:val="22"/>
        </w:rPr>
        <w:t>Other Expenses Not Requiring Budgetary Resources</w:t>
      </w:r>
    </w:p>
    <w:p w14:paraId="4ECCCBBF" w14:textId="1F620622" w:rsidR="0082203E" w:rsidRDefault="0082203E" w:rsidP="0082203E">
      <w:pPr>
        <w:pStyle w:val="PlainText"/>
        <w:keepNext/>
        <w:keepLines/>
        <w:tabs>
          <w:tab w:val="left" w:pos="660"/>
          <w:tab w:val="left" w:pos="1840"/>
          <w:tab w:val="left" w:pos="2940"/>
          <w:tab w:val="left" w:pos="3140"/>
        </w:tabs>
        <w:jc w:val="both"/>
        <w:rPr>
          <w:rFonts w:asciiTheme="minorHAnsi" w:hAnsiTheme="minorHAnsi" w:cstheme="minorHAnsi"/>
          <w:b/>
          <w:sz w:val="22"/>
          <w:szCs w:val="22"/>
        </w:rPr>
      </w:pPr>
      <w:r w:rsidRPr="00554987">
        <w:rPr>
          <w:rFonts w:asciiTheme="minorHAnsi" w:hAnsiTheme="minorHAnsi" w:cstheme="minorHAnsi"/>
          <w:b/>
          <w:sz w:val="22"/>
          <w:szCs w:val="22"/>
        </w:rPr>
        <w:t xml:space="preserve">Account Number: </w:t>
      </w:r>
      <w:r w:rsidR="00C737D2">
        <w:rPr>
          <w:rFonts w:asciiTheme="minorHAnsi" w:hAnsiTheme="minorHAnsi" w:cstheme="minorHAnsi"/>
          <w:bCs/>
          <w:sz w:val="22"/>
          <w:szCs w:val="22"/>
        </w:rPr>
        <w:t>67</w:t>
      </w:r>
      <w:r w:rsidR="003F2474">
        <w:rPr>
          <w:rFonts w:asciiTheme="minorHAnsi" w:hAnsiTheme="minorHAnsi" w:cstheme="minorHAnsi"/>
          <w:bCs/>
          <w:sz w:val="22"/>
          <w:szCs w:val="22"/>
        </w:rPr>
        <w:t>9000</w:t>
      </w:r>
      <w:r w:rsidRPr="00554987">
        <w:rPr>
          <w:rFonts w:asciiTheme="minorHAnsi" w:hAnsiTheme="minorHAnsi" w:cstheme="minorHAnsi"/>
          <w:b/>
          <w:sz w:val="22"/>
          <w:szCs w:val="22"/>
        </w:rPr>
        <w:t xml:space="preserve"> </w:t>
      </w:r>
    </w:p>
    <w:p w14:paraId="21B13E26" w14:textId="761F7F47" w:rsidR="0082203E" w:rsidRDefault="0082203E" w:rsidP="0082203E">
      <w:pPr>
        <w:pStyle w:val="PlainText"/>
        <w:keepNext/>
        <w:keepLines/>
        <w:tabs>
          <w:tab w:val="left" w:pos="660"/>
          <w:tab w:val="left" w:pos="1840"/>
          <w:tab w:val="left" w:pos="2940"/>
          <w:tab w:val="left" w:pos="3140"/>
        </w:tabs>
        <w:jc w:val="both"/>
        <w:rPr>
          <w:rFonts w:asciiTheme="minorHAnsi" w:hAnsiTheme="minorHAnsi" w:cstheme="minorHAnsi"/>
          <w:b/>
          <w:sz w:val="22"/>
          <w:szCs w:val="22"/>
        </w:rPr>
      </w:pPr>
      <w:r w:rsidRPr="00554987">
        <w:rPr>
          <w:rFonts w:asciiTheme="minorHAnsi" w:hAnsiTheme="minorHAnsi" w:cstheme="minorHAnsi"/>
          <w:b/>
          <w:sz w:val="22"/>
          <w:szCs w:val="22"/>
        </w:rPr>
        <w:t xml:space="preserve">Normal Balance: </w:t>
      </w:r>
      <w:r w:rsidRPr="00B65453">
        <w:rPr>
          <w:rFonts w:asciiTheme="minorHAnsi" w:hAnsiTheme="minorHAnsi" w:cstheme="minorHAnsi"/>
          <w:bCs/>
          <w:sz w:val="22"/>
          <w:szCs w:val="22"/>
        </w:rPr>
        <w:t>Debit</w:t>
      </w:r>
    </w:p>
    <w:p w14:paraId="3D7D31C7" w14:textId="5CC470EB" w:rsidR="0082203E" w:rsidRDefault="0082203E" w:rsidP="00B962B7">
      <w:pPr>
        <w:pStyle w:val="Default"/>
        <w:rPr>
          <w:rFonts w:asciiTheme="minorHAnsi" w:hAnsiTheme="minorHAnsi" w:cstheme="minorHAnsi"/>
          <w:bCs/>
          <w:color w:val="2E74B5" w:themeColor="accent5" w:themeShade="BF"/>
          <w:sz w:val="22"/>
          <w:szCs w:val="22"/>
        </w:rPr>
      </w:pPr>
      <w:r w:rsidRPr="00554987">
        <w:rPr>
          <w:rFonts w:asciiTheme="minorHAnsi" w:hAnsiTheme="minorHAnsi" w:cstheme="minorHAnsi"/>
          <w:b/>
          <w:sz w:val="22"/>
          <w:szCs w:val="22"/>
        </w:rPr>
        <w:t xml:space="preserve">Definition: </w:t>
      </w:r>
      <w:r w:rsidR="00872495" w:rsidRPr="00872495">
        <w:rPr>
          <w:rFonts w:asciiTheme="minorHAnsi" w:hAnsiTheme="minorHAnsi" w:cstheme="minorHAnsi"/>
          <w:bCs/>
          <w:sz w:val="22"/>
          <w:szCs w:val="22"/>
        </w:rPr>
        <w:t>This account is used to record the other costs that do not require budgetary resources (such as accounting for the issue of operating materials and supplies when the consumption method is used.)</w:t>
      </w:r>
      <w:r w:rsidR="00872495">
        <w:rPr>
          <w:rFonts w:asciiTheme="minorHAnsi" w:hAnsiTheme="minorHAnsi" w:cstheme="minorHAnsi"/>
          <w:bCs/>
          <w:sz w:val="22"/>
          <w:szCs w:val="22"/>
        </w:rPr>
        <w:t xml:space="preserve">  </w:t>
      </w:r>
      <w:r w:rsidR="00872495" w:rsidRPr="00872495">
        <w:rPr>
          <w:rFonts w:asciiTheme="minorHAnsi" w:hAnsiTheme="minorHAnsi" w:cstheme="minorHAnsi"/>
          <w:bCs/>
          <w:color w:val="2E74B5" w:themeColor="accent5" w:themeShade="BF"/>
          <w:sz w:val="22"/>
          <w:szCs w:val="22"/>
        </w:rPr>
        <w:t xml:space="preserve">Although the normal balance for this account is debit, it may be acceptable for this account to have a credit balance when it relates to refund receivables from certain vendor/benefits overpayments. </w:t>
      </w:r>
    </w:p>
    <w:p w14:paraId="0EF97862" w14:textId="77777777" w:rsidR="00B962B7" w:rsidRPr="00B962B7" w:rsidRDefault="00B962B7" w:rsidP="00B962B7">
      <w:pPr>
        <w:pStyle w:val="Default"/>
        <w:rPr>
          <w:rFonts w:asciiTheme="minorHAnsi" w:hAnsiTheme="minorHAnsi" w:cstheme="minorHAnsi"/>
          <w:bCs/>
          <w:color w:val="2E74B5" w:themeColor="accent5" w:themeShade="BF"/>
          <w:sz w:val="22"/>
          <w:szCs w:val="22"/>
        </w:rPr>
      </w:pPr>
    </w:p>
    <w:p w14:paraId="0B98CE58" w14:textId="06962036" w:rsidR="00C03801" w:rsidRDefault="0082203E" w:rsidP="00EB1BBD">
      <w:pPr>
        <w:pStyle w:val="PlainText"/>
        <w:keepNext/>
        <w:keepLines/>
        <w:tabs>
          <w:tab w:val="left" w:pos="660"/>
          <w:tab w:val="left" w:pos="1840"/>
          <w:tab w:val="left" w:pos="2940"/>
          <w:tab w:val="left" w:pos="3140"/>
        </w:tabs>
        <w:jc w:val="both"/>
        <w:rPr>
          <w:rFonts w:asciiTheme="minorHAnsi" w:hAnsiTheme="minorHAnsi" w:cstheme="minorHAnsi"/>
          <w:bCs/>
          <w:i/>
          <w:iCs/>
          <w:sz w:val="22"/>
          <w:szCs w:val="22"/>
        </w:rPr>
      </w:pPr>
      <w:r>
        <w:rPr>
          <w:rFonts w:asciiTheme="minorHAnsi" w:hAnsiTheme="minorHAnsi" w:cstheme="minorHAnsi"/>
          <w:b/>
          <w:sz w:val="22"/>
          <w:szCs w:val="22"/>
        </w:rPr>
        <w:t xml:space="preserve">Justification: </w:t>
      </w:r>
      <w:r w:rsidR="00AB017D" w:rsidRPr="005D53D6">
        <w:rPr>
          <w:rFonts w:asciiTheme="minorHAnsi" w:hAnsiTheme="minorHAnsi" w:cstheme="minorHAnsi"/>
          <w:bCs/>
          <w:i/>
          <w:iCs/>
          <w:sz w:val="22"/>
          <w:szCs w:val="22"/>
        </w:rPr>
        <w:t>When recording refund receivables (such as in TC C414), some agencies expect to collect refunds for overpayments to non-federal vendors, but the amount of the refund won’t be credited to SGL 610000 or other expense account until collection occurs.  As a result, SGL 679000 could conceivably have a credit balance related to larger overpayments.</w:t>
      </w:r>
    </w:p>
    <w:p w14:paraId="596135E8" w14:textId="77777777" w:rsidR="0069597E" w:rsidRDefault="0069597E" w:rsidP="00EB1BBD">
      <w:pPr>
        <w:pStyle w:val="PlainText"/>
        <w:keepNext/>
        <w:keepLines/>
        <w:tabs>
          <w:tab w:val="left" w:pos="660"/>
          <w:tab w:val="left" w:pos="1840"/>
          <w:tab w:val="left" w:pos="2940"/>
          <w:tab w:val="left" w:pos="3140"/>
        </w:tabs>
        <w:jc w:val="both"/>
        <w:rPr>
          <w:rFonts w:asciiTheme="minorHAnsi" w:hAnsiTheme="minorHAnsi" w:cstheme="minorHAnsi"/>
          <w:bCs/>
          <w:i/>
          <w:iCs/>
          <w:sz w:val="22"/>
          <w:szCs w:val="22"/>
        </w:rPr>
      </w:pPr>
    </w:p>
    <w:p w14:paraId="089341F5" w14:textId="77777777" w:rsidR="0069597E" w:rsidRDefault="0069597E" w:rsidP="00EB1BBD">
      <w:pPr>
        <w:pStyle w:val="PlainText"/>
        <w:keepNext/>
        <w:keepLines/>
        <w:tabs>
          <w:tab w:val="left" w:pos="660"/>
          <w:tab w:val="left" w:pos="1840"/>
          <w:tab w:val="left" w:pos="2940"/>
          <w:tab w:val="left" w:pos="3140"/>
        </w:tabs>
        <w:jc w:val="both"/>
        <w:rPr>
          <w:rFonts w:asciiTheme="minorHAnsi" w:hAnsiTheme="minorHAnsi" w:cstheme="minorHAnsi"/>
          <w:bCs/>
          <w:i/>
          <w:iCs/>
          <w:sz w:val="22"/>
          <w:szCs w:val="22"/>
        </w:rPr>
      </w:pPr>
    </w:p>
    <w:p w14:paraId="44E20347" w14:textId="5E12C450" w:rsidR="0069597E" w:rsidRDefault="0069597E" w:rsidP="0069597E">
      <w:pPr>
        <w:pStyle w:val="PlainText"/>
        <w:keepNext/>
        <w:keepLines/>
        <w:tabs>
          <w:tab w:val="left" w:pos="660"/>
          <w:tab w:val="left" w:pos="1840"/>
          <w:tab w:val="left" w:pos="2940"/>
          <w:tab w:val="left" w:pos="3140"/>
        </w:tabs>
        <w:jc w:val="both"/>
        <w:rPr>
          <w:rFonts w:asciiTheme="minorHAnsi" w:hAnsiTheme="minorHAnsi" w:cstheme="minorHAnsi"/>
          <w:b/>
          <w:sz w:val="22"/>
          <w:szCs w:val="22"/>
        </w:rPr>
      </w:pPr>
      <w:r>
        <w:rPr>
          <w:rFonts w:asciiTheme="minorHAnsi" w:hAnsiTheme="minorHAnsi" w:cstheme="minorHAnsi"/>
          <w:b/>
          <w:sz w:val="22"/>
          <w:szCs w:val="22"/>
        </w:rPr>
        <w:t>2</w:t>
      </w:r>
      <w:r>
        <w:rPr>
          <w:rFonts w:asciiTheme="minorHAnsi" w:hAnsiTheme="minorHAnsi" w:cstheme="minorHAnsi"/>
          <w:b/>
          <w:sz w:val="22"/>
          <w:szCs w:val="22"/>
        </w:rPr>
        <w:t xml:space="preserve">) </w:t>
      </w:r>
      <w:r>
        <w:rPr>
          <w:rFonts w:asciiTheme="minorHAnsi" w:hAnsiTheme="minorHAnsi" w:cstheme="minorHAnsi"/>
          <w:b/>
          <w:sz w:val="22"/>
          <w:szCs w:val="22"/>
        </w:rPr>
        <w:tab/>
      </w:r>
      <w:r w:rsidRPr="0069597E">
        <w:rPr>
          <w:rFonts w:asciiTheme="minorHAnsi" w:hAnsiTheme="minorHAnsi" w:cstheme="minorHAnsi"/>
          <w:b/>
          <w:sz w:val="22"/>
          <w:szCs w:val="22"/>
        </w:rPr>
        <w:t>Funds Held Outside of Treasury - Budgetary</w:t>
      </w:r>
    </w:p>
    <w:p w14:paraId="2DA492C3" w14:textId="77777777" w:rsidR="0069597E" w:rsidRDefault="0069597E" w:rsidP="0069597E">
      <w:pPr>
        <w:pStyle w:val="PlainText"/>
        <w:keepNext/>
        <w:keepLines/>
        <w:tabs>
          <w:tab w:val="left" w:pos="660"/>
          <w:tab w:val="left" w:pos="1840"/>
          <w:tab w:val="left" w:pos="2940"/>
          <w:tab w:val="left" w:pos="3140"/>
        </w:tabs>
        <w:jc w:val="both"/>
        <w:rPr>
          <w:rFonts w:asciiTheme="minorHAnsi" w:hAnsiTheme="minorHAnsi" w:cstheme="minorHAnsi"/>
          <w:b/>
          <w:sz w:val="22"/>
          <w:szCs w:val="22"/>
        </w:rPr>
      </w:pPr>
    </w:p>
    <w:p w14:paraId="1D9EFFC2" w14:textId="51238A21" w:rsidR="0069597E" w:rsidRDefault="0069597E" w:rsidP="0069597E">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sidRPr="00554987">
        <w:rPr>
          <w:rFonts w:asciiTheme="minorHAnsi" w:hAnsiTheme="minorHAnsi" w:cstheme="minorHAnsi"/>
          <w:b/>
          <w:sz w:val="22"/>
          <w:szCs w:val="22"/>
        </w:rPr>
        <w:t xml:space="preserve">Account Title: </w:t>
      </w:r>
      <w:r w:rsidRPr="0069597E">
        <w:rPr>
          <w:rFonts w:asciiTheme="minorHAnsi" w:hAnsiTheme="minorHAnsi" w:cstheme="minorHAnsi"/>
          <w:bCs/>
          <w:sz w:val="22"/>
          <w:szCs w:val="22"/>
        </w:rPr>
        <w:t>Funds Held Outside of Treasury - Budgetary</w:t>
      </w:r>
    </w:p>
    <w:p w14:paraId="77C682CD" w14:textId="4D18F2B3" w:rsidR="0069597E" w:rsidRDefault="0069597E" w:rsidP="0069597E">
      <w:pPr>
        <w:pStyle w:val="PlainText"/>
        <w:keepNext/>
        <w:keepLines/>
        <w:tabs>
          <w:tab w:val="left" w:pos="660"/>
          <w:tab w:val="left" w:pos="1840"/>
          <w:tab w:val="left" w:pos="2940"/>
          <w:tab w:val="left" w:pos="3140"/>
        </w:tabs>
        <w:jc w:val="both"/>
        <w:rPr>
          <w:rFonts w:asciiTheme="minorHAnsi" w:hAnsiTheme="minorHAnsi" w:cstheme="minorHAnsi"/>
          <w:b/>
          <w:sz w:val="22"/>
          <w:szCs w:val="22"/>
        </w:rPr>
      </w:pPr>
      <w:r w:rsidRPr="00554987">
        <w:rPr>
          <w:rFonts w:asciiTheme="minorHAnsi" w:hAnsiTheme="minorHAnsi" w:cstheme="minorHAnsi"/>
          <w:b/>
          <w:sz w:val="22"/>
          <w:szCs w:val="22"/>
        </w:rPr>
        <w:t xml:space="preserve">Account Number: </w:t>
      </w:r>
      <w:r>
        <w:rPr>
          <w:rFonts w:asciiTheme="minorHAnsi" w:hAnsiTheme="minorHAnsi" w:cstheme="minorHAnsi"/>
          <w:bCs/>
          <w:sz w:val="22"/>
          <w:szCs w:val="22"/>
        </w:rPr>
        <w:t>113</w:t>
      </w:r>
      <w:r w:rsidR="00441236">
        <w:rPr>
          <w:rFonts w:asciiTheme="minorHAnsi" w:hAnsiTheme="minorHAnsi" w:cstheme="minorHAnsi"/>
          <w:bCs/>
          <w:sz w:val="22"/>
          <w:szCs w:val="22"/>
        </w:rPr>
        <w:t>0</w:t>
      </w:r>
      <w:r>
        <w:rPr>
          <w:rFonts w:asciiTheme="minorHAnsi" w:hAnsiTheme="minorHAnsi" w:cstheme="minorHAnsi"/>
          <w:bCs/>
          <w:sz w:val="22"/>
          <w:szCs w:val="22"/>
        </w:rPr>
        <w:t>00</w:t>
      </w:r>
      <w:r w:rsidRPr="00554987">
        <w:rPr>
          <w:rFonts w:asciiTheme="minorHAnsi" w:hAnsiTheme="minorHAnsi" w:cstheme="minorHAnsi"/>
          <w:b/>
          <w:sz w:val="22"/>
          <w:szCs w:val="22"/>
        </w:rPr>
        <w:t xml:space="preserve"> </w:t>
      </w:r>
    </w:p>
    <w:p w14:paraId="1594DDB3" w14:textId="77777777" w:rsidR="0069597E" w:rsidRDefault="0069597E" w:rsidP="0069597E">
      <w:pPr>
        <w:pStyle w:val="PlainText"/>
        <w:keepNext/>
        <w:keepLines/>
        <w:tabs>
          <w:tab w:val="left" w:pos="660"/>
          <w:tab w:val="left" w:pos="1840"/>
          <w:tab w:val="left" w:pos="2940"/>
          <w:tab w:val="left" w:pos="3140"/>
        </w:tabs>
        <w:jc w:val="both"/>
        <w:rPr>
          <w:rFonts w:asciiTheme="minorHAnsi" w:hAnsiTheme="minorHAnsi" w:cstheme="minorHAnsi"/>
          <w:b/>
          <w:sz w:val="22"/>
          <w:szCs w:val="22"/>
        </w:rPr>
      </w:pPr>
      <w:r w:rsidRPr="00554987">
        <w:rPr>
          <w:rFonts w:asciiTheme="minorHAnsi" w:hAnsiTheme="minorHAnsi" w:cstheme="minorHAnsi"/>
          <w:b/>
          <w:sz w:val="22"/>
          <w:szCs w:val="22"/>
        </w:rPr>
        <w:t xml:space="preserve">Normal Balance: </w:t>
      </w:r>
      <w:r w:rsidRPr="00B65453">
        <w:rPr>
          <w:rFonts w:asciiTheme="minorHAnsi" w:hAnsiTheme="minorHAnsi" w:cstheme="minorHAnsi"/>
          <w:bCs/>
          <w:sz w:val="22"/>
          <w:szCs w:val="22"/>
        </w:rPr>
        <w:t>Debit</w:t>
      </w:r>
    </w:p>
    <w:p w14:paraId="0B09CCCF" w14:textId="3CE24FF5" w:rsidR="0069597E" w:rsidRDefault="0069597E" w:rsidP="0069597E">
      <w:pPr>
        <w:pStyle w:val="Default"/>
        <w:rPr>
          <w:rFonts w:asciiTheme="minorHAnsi" w:hAnsiTheme="minorHAnsi" w:cstheme="minorHAnsi"/>
          <w:bCs/>
          <w:color w:val="2E74B5" w:themeColor="accent5" w:themeShade="BF"/>
          <w:sz w:val="22"/>
          <w:szCs w:val="22"/>
        </w:rPr>
      </w:pPr>
      <w:r w:rsidRPr="00554987">
        <w:rPr>
          <w:rFonts w:asciiTheme="minorHAnsi" w:hAnsiTheme="minorHAnsi" w:cstheme="minorHAnsi"/>
          <w:b/>
          <w:sz w:val="22"/>
          <w:szCs w:val="22"/>
        </w:rPr>
        <w:t xml:space="preserve">Definition: </w:t>
      </w:r>
      <w:r w:rsidR="00441236" w:rsidRPr="00441236">
        <w:rPr>
          <w:rFonts w:asciiTheme="minorHAnsi" w:hAnsiTheme="minorHAnsi" w:cstheme="minorHAnsi"/>
          <w:bCs/>
          <w:sz w:val="22"/>
          <w:szCs w:val="22"/>
        </w:rPr>
        <w:t>This account is used to record the amount of cash deposited in accounts outside of the U.S. Treasury, in non-Treasury General Accounts (non-TGAs) that the Office of Management and Budget has determined will be included in the Budget of the United States Government</w:t>
      </w:r>
      <w:r w:rsidR="00441236">
        <w:rPr>
          <w:rFonts w:asciiTheme="minorHAnsi" w:hAnsiTheme="minorHAnsi" w:cstheme="minorHAnsi"/>
          <w:bCs/>
          <w:sz w:val="22"/>
          <w:szCs w:val="22"/>
        </w:rPr>
        <w:t xml:space="preserve">. </w:t>
      </w:r>
      <w:r w:rsidR="00441236" w:rsidRPr="0069597E">
        <w:rPr>
          <w:rFonts w:asciiTheme="minorHAnsi" w:hAnsiTheme="minorHAnsi" w:cstheme="minorHAnsi"/>
          <w:bCs/>
          <w:color w:val="2E74B5" w:themeColor="accent5" w:themeShade="BF"/>
          <w:sz w:val="22"/>
          <w:szCs w:val="22"/>
        </w:rPr>
        <w:t>For Expenditure Treasury Account Fund Symbols, this amount represents the portion of unexpended balances that is held outside of Treasury.</w:t>
      </w:r>
      <w:r w:rsidR="00441236">
        <w:rPr>
          <w:rStyle w:val="ui-provider"/>
        </w:rPr>
        <w:t xml:space="preserve"> </w:t>
      </w:r>
      <w:r w:rsidR="00441236" w:rsidRPr="00441236">
        <w:rPr>
          <w:rFonts w:asciiTheme="minorHAnsi" w:hAnsiTheme="minorHAnsi" w:cstheme="minorHAnsi"/>
          <w:bCs/>
          <w:sz w:val="22"/>
          <w:szCs w:val="22"/>
        </w:rPr>
        <w:t>This account does not close at year-end.</w:t>
      </w:r>
    </w:p>
    <w:p w14:paraId="1202DE32" w14:textId="77777777" w:rsidR="0069597E" w:rsidRPr="00B962B7" w:rsidRDefault="0069597E" w:rsidP="0069597E">
      <w:pPr>
        <w:pStyle w:val="Default"/>
        <w:rPr>
          <w:rFonts w:asciiTheme="minorHAnsi" w:hAnsiTheme="minorHAnsi" w:cstheme="minorHAnsi"/>
          <w:bCs/>
          <w:color w:val="2E74B5" w:themeColor="accent5" w:themeShade="BF"/>
          <w:sz w:val="22"/>
          <w:szCs w:val="22"/>
        </w:rPr>
      </w:pPr>
    </w:p>
    <w:p w14:paraId="1312D219" w14:textId="1C1FB0DB" w:rsidR="0069597E" w:rsidRPr="00FE7419" w:rsidRDefault="0069597E" w:rsidP="0069597E">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Pr>
          <w:rFonts w:asciiTheme="minorHAnsi" w:hAnsiTheme="minorHAnsi" w:cstheme="minorHAnsi"/>
          <w:b/>
          <w:sz w:val="22"/>
          <w:szCs w:val="22"/>
        </w:rPr>
        <w:t xml:space="preserve">Justification: </w:t>
      </w:r>
      <w:r w:rsidR="00441236">
        <w:rPr>
          <w:rFonts w:asciiTheme="minorHAnsi" w:hAnsiTheme="minorHAnsi" w:cstheme="minorHAnsi"/>
          <w:bCs/>
          <w:i/>
          <w:iCs/>
          <w:sz w:val="22"/>
          <w:szCs w:val="22"/>
        </w:rPr>
        <w:t xml:space="preserve">To clarify the use of </w:t>
      </w:r>
      <w:r w:rsidR="00F968E9">
        <w:rPr>
          <w:rFonts w:asciiTheme="minorHAnsi" w:hAnsiTheme="minorHAnsi" w:cstheme="minorHAnsi"/>
          <w:bCs/>
          <w:i/>
          <w:iCs/>
          <w:sz w:val="22"/>
          <w:szCs w:val="22"/>
        </w:rPr>
        <w:t>Funds Held Outside of Treasury with budgetary impact.</w:t>
      </w:r>
    </w:p>
    <w:p w14:paraId="41646E23" w14:textId="77777777" w:rsidR="0069597E" w:rsidRPr="00FE7419" w:rsidRDefault="0069597E" w:rsidP="00EB1BBD">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p>
    <w:sectPr w:rsidR="0069597E" w:rsidRPr="00FE741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CD7B4" w14:textId="77777777" w:rsidR="00745D48" w:rsidRDefault="00745D48" w:rsidP="00745D48">
      <w:pPr>
        <w:spacing w:after="0" w:line="240" w:lineRule="auto"/>
      </w:pPr>
      <w:r>
        <w:separator/>
      </w:r>
    </w:p>
  </w:endnote>
  <w:endnote w:type="continuationSeparator" w:id="0">
    <w:p w14:paraId="04356A80" w14:textId="77777777" w:rsidR="00745D48" w:rsidRDefault="00745D48" w:rsidP="00745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724907"/>
      <w:docPartObj>
        <w:docPartGallery w:val="Page Numbers (Bottom of Page)"/>
        <w:docPartUnique/>
      </w:docPartObj>
    </w:sdtPr>
    <w:sdtEndPr/>
    <w:sdtContent>
      <w:sdt>
        <w:sdtPr>
          <w:id w:val="1728636285"/>
          <w:docPartObj>
            <w:docPartGallery w:val="Page Numbers (Top of Page)"/>
            <w:docPartUnique/>
          </w:docPartObj>
        </w:sdtPr>
        <w:sdtEndPr/>
        <w:sdtContent>
          <w:p w14:paraId="59309C2C" w14:textId="075E7162" w:rsidR="00745D48" w:rsidRDefault="00745D48" w:rsidP="00745D4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t xml:space="preserve">                                        </w:t>
            </w:r>
            <w:r w:rsidRPr="00745D48">
              <w:rPr>
                <w:b/>
                <w:bCs/>
              </w:rPr>
              <w:t xml:space="preserve">IRC Handout </w:t>
            </w:r>
            <w:r w:rsidR="0042121C">
              <w:rPr>
                <w:b/>
                <w:bCs/>
              </w:rPr>
              <w:t>0</w:t>
            </w:r>
            <w:r w:rsidR="005F0518">
              <w:rPr>
                <w:b/>
                <w:bCs/>
              </w:rPr>
              <w:t>8</w:t>
            </w:r>
            <w:r w:rsidRPr="00745D48">
              <w:rPr>
                <w:b/>
                <w:bCs/>
              </w:rPr>
              <w:t>/</w:t>
            </w:r>
            <w:r w:rsidR="005F0518">
              <w:rPr>
                <w:b/>
                <w:bCs/>
              </w:rPr>
              <w:t>21</w:t>
            </w:r>
            <w:r w:rsidRPr="00745D48">
              <w:rPr>
                <w:b/>
                <w:bCs/>
              </w:rPr>
              <w:t>/</w:t>
            </w:r>
            <w:r w:rsidR="00934B1F">
              <w:rPr>
                <w:b/>
                <w:bCs/>
              </w:rPr>
              <w:t>2024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05177" w14:textId="77777777" w:rsidR="00745D48" w:rsidRDefault="00745D48" w:rsidP="00745D48">
      <w:pPr>
        <w:spacing w:after="0" w:line="240" w:lineRule="auto"/>
      </w:pPr>
      <w:r>
        <w:separator/>
      </w:r>
    </w:p>
  </w:footnote>
  <w:footnote w:type="continuationSeparator" w:id="0">
    <w:p w14:paraId="78F93FB1" w14:textId="77777777" w:rsidR="00745D48" w:rsidRDefault="00745D48" w:rsidP="00745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818670"/>
      <w:docPartObj>
        <w:docPartGallery w:val="Watermarks"/>
        <w:docPartUnique/>
      </w:docPartObj>
    </w:sdtPr>
    <w:sdtEndPr/>
    <w:sdtContent>
      <w:p w14:paraId="4315AFAC" w14:textId="6C7983B8" w:rsidR="0025780A" w:rsidRDefault="00F968E9">
        <w:pPr>
          <w:pStyle w:val="Header"/>
        </w:pPr>
        <w:r>
          <w:rPr>
            <w:noProof/>
          </w:rPr>
          <w:pict w14:anchorId="18AE4C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66A70"/>
    <w:multiLevelType w:val="hybridMultilevel"/>
    <w:tmpl w:val="AD0AC4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7D4960"/>
    <w:multiLevelType w:val="hybridMultilevel"/>
    <w:tmpl w:val="3B0810DC"/>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3745615">
    <w:abstractNumId w:val="0"/>
  </w:num>
  <w:num w:numId="2" w16cid:durableId="593634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82"/>
    <w:rsid w:val="00060BF1"/>
    <w:rsid w:val="00086B3E"/>
    <w:rsid w:val="000A0A31"/>
    <w:rsid w:val="000A15C0"/>
    <w:rsid w:val="000A45BE"/>
    <w:rsid w:val="000A50A9"/>
    <w:rsid w:val="000C10C6"/>
    <w:rsid w:val="000C1D4B"/>
    <w:rsid w:val="001129DF"/>
    <w:rsid w:val="001324E6"/>
    <w:rsid w:val="00177DAC"/>
    <w:rsid w:val="001B470A"/>
    <w:rsid w:val="001D2FAF"/>
    <w:rsid w:val="001E68DF"/>
    <w:rsid w:val="001F64C5"/>
    <w:rsid w:val="001F6BC0"/>
    <w:rsid w:val="002024E2"/>
    <w:rsid w:val="00207FDA"/>
    <w:rsid w:val="00211F8B"/>
    <w:rsid w:val="0025780A"/>
    <w:rsid w:val="00261747"/>
    <w:rsid w:val="00292A0C"/>
    <w:rsid w:val="002949C4"/>
    <w:rsid w:val="002B00EE"/>
    <w:rsid w:val="002B301B"/>
    <w:rsid w:val="00311177"/>
    <w:rsid w:val="00343BB0"/>
    <w:rsid w:val="0035338E"/>
    <w:rsid w:val="00364CA1"/>
    <w:rsid w:val="00381CE8"/>
    <w:rsid w:val="00383A13"/>
    <w:rsid w:val="003A054A"/>
    <w:rsid w:val="003A3165"/>
    <w:rsid w:val="003A759C"/>
    <w:rsid w:val="003B675E"/>
    <w:rsid w:val="003C711F"/>
    <w:rsid w:val="003E7E5B"/>
    <w:rsid w:val="003F2474"/>
    <w:rsid w:val="00403CC8"/>
    <w:rsid w:val="00412312"/>
    <w:rsid w:val="0041400B"/>
    <w:rsid w:val="0042121C"/>
    <w:rsid w:val="00430DFE"/>
    <w:rsid w:val="00441236"/>
    <w:rsid w:val="004A12DE"/>
    <w:rsid w:val="004B131E"/>
    <w:rsid w:val="004C564A"/>
    <w:rsid w:val="004D1AF9"/>
    <w:rsid w:val="00521E33"/>
    <w:rsid w:val="00522642"/>
    <w:rsid w:val="0053665C"/>
    <w:rsid w:val="00536DAC"/>
    <w:rsid w:val="00554987"/>
    <w:rsid w:val="00595EA9"/>
    <w:rsid w:val="005A0887"/>
    <w:rsid w:val="005A6077"/>
    <w:rsid w:val="005C3E4F"/>
    <w:rsid w:val="005C5F08"/>
    <w:rsid w:val="005D53D6"/>
    <w:rsid w:val="005F0518"/>
    <w:rsid w:val="0061370D"/>
    <w:rsid w:val="006363F6"/>
    <w:rsid w:val="00637C90"/>
    <w:rsid w:val="00641368"/>
    <w:rsid w:val="0064564D"/>
    <w:rsid w:val="00651FF5"/>
    <w:rsid w:val="0069597E"/>
    <w:rsid w:val="0069663B"/>
    <w:rsid w:val="006E088B"/>
    <w:rsid w:val="006F6AB0"/>
    <w:rsid w:val="0072601F"/>
    <w:rsid w:val="00731533"/>
    <w:rsid w:val="00734409"/>
    <w:rsid w:val="00745D48"/>
    <w:rsid w:val="0075009C"/>
    <w:rsid w:val="007673FB"/>
    <w:rsid w:val="007E531A"/>
    <w:rsid w:val="007E7815"/>
    <w:rsid w:val="007F337A"/>
    <w:rsid w:val="00800998"/>
    <w:rsid w:val="0081279B"/>
    <w:rsid w:val="0082203E"/>
    <w:rsid w:val="0082627A"/>
    <w:rsid w:val="00846766"/>
    <w:rsid w:val="00865DC3"/>
    <w:rsid w:val="00872495"/>
    <w:rsid w:val="00886334"/>
    <w:rsid w:val="008876B0"/>
    <w:rsid w:val="008A0952"/>
    <w:rsid w:val="008A33F8"/>
    <w:rsid w:val="008C480A"/>
    <w:rsid w:val="008F18F0"/>
    <w:rsid w:val="00904348"/>
    <w:rsid w:val="00906CC5"/>
    <w:rsid w:val="009333AA"/>
    <w:rsid w:val="00934B1F"/>
    <w:rsid w:val="009A1003"/>
    <w:rsid w:val="009B7971"/>
    <w:rsid w:val="00A033C1"/>
    <w:rsid w:val="00A11BD3"/>
    <w:rsid w:val="00A20263"/>
    <w:rsid w:val="00A42F5F"/>
    <w:rsid w:val="00A43F75"/>
    <w:rsid w:val="00A65AE3"/>
    <w:rsid w:val="00A87B86"/>
    <w:rsid w:val="00A90A83"/>
    <w:rsid w:val="00AA5BDD"/>
    <w:rsid w:val="00AB017D"/>
    <w:rsid w:val="00AC44E3"/>
    <w:rsid w:val="00AD46C3"/>
    <w:rsid w:val="00AE75F2"/>
    <w:rsid w:val="00B42FC9"/>
    <w:rsid w:val="00B55DE8"/>
    <w:rsid w:val="00B65453"/>
    <w:rsid w:val="00B7201A"/>
    <w:rsid w:val="00B84E01"/>
    <w:rsid w:val="00B962B7"/>
    <w:rsid w:val="00BA7024"/>
    <w:rsid w:val="00BB228A"/>
    <w:rsid w:val="00BB25CF"/>
    <w:rsid w:val="00BB3C9A"/>
    <w:rsid w:val="00BC7F64"/>
    <w:rsid w:val="00C03801"/>
    <w:rsid w:val="00C11201"/>
    <w:rsid w:val="00C14153"/>
    <w:rsid w:val="00C25F69"/>
    <w:rsid w:val="00C4296E"/>
    <w:rsid w:val="00C70A55"/>
    <w:rsid w:val="00C737D2"/>
    <w:rsid w:val="00C823F4"/>
    <w:rsid w:val="00C839D7"/>
    <w:rsid w:val="00C92C7F"/>
    <w:rsid w:val="00C92FBE"/>
    <w:rsid w:val="00CB317E"/>
    <w:rsid w:val="00CB421B"/>
    <w:rsid w:val="00CD29FA"/>
    <w:rsid w:val="00CD3E7A"/>
    <w:rsid w:val="00CE6A65"/>
    <w:rsid w:val="00D33FDC"/>
    <w:rsid w:val="00D511B2"/>
    <w:rsid w:val="00DB0B43"/>
    <w:rsid w:val="00DB4A41"/>
    <w:rsid w:val="00DC0FE2"/>
    <w:rsid w:val="00DD2FB4"/>
    <w:rsid w:val="00DD6FAB"/>
    <w:rsid w:val="00DE46D6"/>
    <w:rsid w:val="00DE504A"/>
    <w:rsid w:val="00DE6C87"/>
    <w:rsid w:val="00DF27EF"/>
    <w:rsid w:val="00E0048F"/>
    <w:rsid w:val="00E163F0"/>
    <w:rsid w:val="00E36D30"/>
    <w:rsid w:val="00E7557C"/>
    <w:rsid w:val="00E90FAD"/>
    <w:rsid w:val="00EA050F"/>
    <w:rsid w:val="00EB1BBD"/>
    <w:rsid w:val="00EB678C"/>
    <w:rsid w:val="00ED26B7"/>
    <w:rsid w:val="00EF5105"/>
    <w:rsid w:val="00F304A0"/>
    <w:rsid w:val="00F51D92"/>
    <w:rsid w:val="00F52182"/>
    <w:rsid w:val="00F910E3"/>
    <w:rsid w:val="00F968E9"/>
    <w:rsid w:val="00FA3DF2"/>
    <w:rsid w:val="00FC58AD"/>
    <w:rsid w:val="00FD6EB3"/>
    <w:rsid w:val="00FE7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F758BE"/>
  <w15:chartTrackingRefBased/>
  <w15:docId w15:val="{6DFCBAFA-9714-42C3-A3CE-ECB0C4903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A33F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A33F8"/>
    <w:rPr>
      <w:rFonts w:ascii="Consolas" w:hAnsi="Consolas"/>
      <w:sz w:val="21"/>
      <w:szCs w:val="21"/>
    </w:rPr>
  </w:style>
  <w:style w:type="paragraph" w:styleId="Header">
    <w:name w:val="header"/>
    <w:basedOn w:val="Normal"/>
    <w:link w:val="HeaderChar"/>
    <w:uiPriority w:val="99"/>
    <w:unhideWhenUsed/>
    <w:rsid w:val="00745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D48"/>
  </w:style>
  <w:style w:type="paragraph" w:styleId="Footer">
    <w:name w:val="footer"/>
    <w:basedOn w:val="Normal"/>
    <w:link w:val="FooterChar"/>
    <w:uiPriority w:val="99"/>
    <w:unhideWhenUsed/>
    <w:rsid w:val="00745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D48"/>
  </w:style>
  <w:style w:type="paragraph" w:customStyle="1" w:styleId="Default">
    <w:name w:val="Default"/>
    <w:basedOn w:val="Normal"/>
    <w:rsid w:val="00872495"/>
    <w:pPr>
      <w:autoSpaceDE w:val="0"/>
      <w:autoSpaceDN w:val="0"/>
      <w:spacing w:after="0" w:line="240" w:lineRule="auto"/>
    </w:pPr>
    <w:rPr>
      <w:rFonts w:ascii="Times New Roman" w:hAnsi="Times New Roman" w:cs="Times New Roman"/>
      <w:color w:val="000000"/>
      <w:sz w:val="24"/>
      <w:szCs w:val="24"/>
      <w14:ligatures w14:val="standardContextual"/>
    </w:rPr>
  </w:style>
  <w:style w:type="character" w:customStyle="1" w:styleId="ui-provider">
    <w:name w:val="ui-provider"/>
    <w:basedOn w:val="DefaultParagraphFont"/>
    <w:rsid w:val="00695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662571">
      <w:bodyDiv w:val="1"/>
      <w:marLeft w:val="0"/>
      <w:marRight w:val="0"/>
      <w:marTop w:val="0"/>
      <w:marBottom w:val="0"/>
      <w:divBdr>
        <w:top w:val="none" w:sz="0" w:space="0" w:color="auto"/>
        <w:left w:val="none" w:sz="0" w:space="0" w:color="auto"/>
        <w:bottom w:val="none" w:sz="0" w:space="0" w:color="auto"/>
        <w:right w:val="none" w:sz="0" w:space="0" w:color="auto"/>
      </w:divBdr>
    </w:div>
    <w:div w:id="201926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David Casto</dc:creator>
  <cp:keywords/>
  <dc:description/>
  <cp:lastModifiedBy>Brian D. Casto</cp:lastModifiedBy>
  <cp:revision>19</cp:revision>
  <dcterms:created xsi:type="dcterms:W3CDTF">2024-07-24T13:44:00Z</dcterms:created>
  <dcterms:modified xsi:type="dcterms:W3CDTF">2024-08-16T14:31:00Z</dcterms:modified>
</cp:coreProperties>
</file>