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6D86116B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2023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2A1CAB37" w14:textId="77777777" w:rsidTr="007B4D1B">
        <w:tc>
          <w:tcPr>
            <w:tcW w:w="2709" w:type="dxa"/>
          </w:tcPr>
          <w:p w14:paraId="36C74F72" w14:textId="5F34C86E" w:rsidR="007118E1" w:rsidRDefault="007118E1" w:rsidP="009C7478">
            <w:pPr>
              <w:autoSpaceDE w:val="0"/>
              <w:autoSpaceDN w:val="0"/>
              <w:adjustRightInd w:val="0"/>
            </w:pPr>
            <w:r>
              <w:t>Authority Temporarily Precluded from Obligation</w:t>
            </w:r>
          </w:p>
        </w:tc>
        <w:tc>
          <w:tcPr>
            <w:tcW w:w="1853" w:type="dxa"/>
          </w:tcPr>
          <w:p w14:paraId="173F97FE" w14:textId="57254462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616543E3" w14:textId="5392183D" w:rsidR="007118E1" w:rsidRDefault="00E92CA0" w:rsidP="009C7478">
            <w:pPr>
              <w:autoSpaceDE w:val="0"/>
              <w:autoSpaceDN w:val="0"/>
              <w:adjustRightInd w:val="0"/>
            </w:pPr>
            <w:r>
              <w:t>May 2023</w:t>
            </w:r>
          </w:p>
        </w:tc>
        <w:tc>
          <w:tcPr>
            <w:tcW w:w="4148" w:type="dxa"/>
          </w:tcPr>
          <w:p w14:paraId="04EA4318" w14:textId="33B7782E" w:rsidR="007118E1" w:rsidRDefault="007118E1" w:rsidP="009C7478">
            <w:pPr>
              <w:autoSpaceDE w:val="0"/>
              <w:autoSpaceDN w:val="0"/>
              <w:adjustRightInd w:val="0"/>
            </w:pPr>
            <w:r>
              <w:t>Have had internal meetings with OMB</w:t>
            </w:r>
            <w:r w:rsidR="00E92CA0">
              <w:t xml:space="preserve"> and have made updates to the background and transactions.  Additional meeting with OMB for approval pending.</w:t>
            </w:r>
          </w:p>
        </w:tc>
      </w:tr>
      <w:tr w:rsidR="007118E1" w14:paraId="1FDDE8BC" w14:textId="77777777" w:rsidTr="007B4D1B">
        <w:tc>
          <w:tcPr>
            <w:tcW w:w="2709" w:type="dxa"/>
          </w:tcPr>
          <w:p w14:paraId="28E11900" w14:textId="2AAF1F6C" w:rsidR="007118E1" w:rsidRDefault="007118E1" w:rsidP="009C7478">
            <w:pPr>
              <w:autoSpaceDE w:val="0"/>
              <w:autoSpaceDN w:val="0"/>
              <w:adjustRightInd w:val="0"/>
            </w:pPr>
            <w:r>
              <w:t>Receipts Not Available for Obligation Upon Collection</w:t>
            </w:r>
          </w:p>
        </w:tc>
        <w:tc>
          <w:tcPr>
            <w:tcW w:w="1853" w:type="dxa"/>
          </w:tcPr>
          <w:p w14:paraId="5E88DB6E" w14:textId="7C972F78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7BD8ACFF" w14:textId="67E79F52" w:rsidR="007118E1" w:rsidRDefault="00D96246" w:rsidP="009C7478">
            <w:pPr>
              <w:autoSpaceDE w:val="0"/>
              <w:autoSpaceDN w:val="0"/>
              <w:adjustRightInd w:val="0"/>
            </w:pPr>
            <w:r>
              <w:t xml:space="preserve">June </w:t>
            </w:r>
            <w:r w:rsidR="00EE103A">
              <w:t>2023</w:t>
            </w:r>
          </w:p>
        </w:tc>
        <w:tc>
          <w:tcPr>
            <w:tcW w:w="4148" w:type="dxa"/>
          </w:tcPr>
          <w:p w14:paraId="4271B948" w14:textId="3B761AC2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Have had internal meetings with OMB </w:t>
            </w:r>
            <w:r w:rsidR="00EE103A">
              <w:t>and have made updates to the background and transactions.  A new USSGL is involved in this scenario, which will be presented at April IRC.  Pending approval of the USSGL, a draft version is nearing completion.</w:t>
            </w:r>
          </w:p>
        </w:tc>
      </w:tr>
      <w:tr w:rsidR="007118E1" w14:paraId="4CD9DD5D" w14:textId="77777777" w:rsidTr="007B4D1B">
        <w:tc>
          <w:tcPr>
            <w:tcW w:w="2709" w:type="dxa"/>
          </w:tcPr>
          <w:p w14:paraId="1F362527" w14:textId="19A61CA6" w:rsidR="007118E1" w:rsidRDefault="007118E1" w:rsidP="009C7478">
            <w:pPr>
              <w:autoSpaceDE w:val="0"/>
              <w:autoSpaceDN w:val="0"/>
              <w:adjustRightInd w:val="0"/>
            </w:pPr>
            <w:r>
              <w:t>Advance Appropriation</w:t>
            </w:r>
          </w:p>
        </w:tc>
        <w:tc>
          <w:tcPr>
            <w:tcW w:w="1853" w:type="dxa"/>
          </w:tcPr>
          <w:p w14:paraId="7B3C0D20" w14:textId="764556DF" w:rsidR="007118E1" w:rsidRDefault="007118E1" w:rsidP="009C7478">
            <w:pPr>
              <w:autoSpaceDE w:val="0"/>
              <w:autoSpaceDN w:val="0"/>
              <w:adjustRightInd w:val="0"/>
            </w:pPr>
            <w:r>
              <w:t>2002</w:t>
            </w:r>
          </w:p>
        </w:tc>
        <w:tc>
          <w:tcPr>
            <w:tcW w:w="2180" w:type="dxa"/>
          </w:tcPr>
          <w:p w14:paraId="5E11BB85" w14:textId="50C3D9AE" w:rsidR="007118E1" w:rsidRDefault="00EE103A" w:rsidP="009C7478">
            <w:pPr>
              <w:autoSpaceDE w:val="0"/>
              <w:autoSpaceDN w:val="0"/>
              <w:adjustRightInd w:val="0"/>
            </w:pPr>
            <w:r>
              <w:t>July 2023</w:t>
            </w:r>
          </w:p>
        </w:tc>
        <w:tc>
          <w:tcPr>
            <w:tcW w:w="4148" w:type="dxa"/>
          </w:tcPr>
          <w:p w14:paraId="6953BF2C" w14:textId="74CE55D2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Have had internal meetings with OMB to lay the groundwork and </w:t>
            </w:r>
            <w:r w:rsidR="00EE103A">
              <w:t>transactions have been reviewed</w:t>
            </w:r>
            <w:r>
              <w:t>.</w:t>
            </w:r>
            <w:r w:rsidR="00EE103A">
              <w:t xml:space="preserve">  The verbiage in the background section is under review with BAAS, GLAB, and OMB.  Potential updates to the background section will coincide with OMB Circular A-11 updates.  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D0E2594" w14:textId="5BCDB773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4A7755FA" w:rsidR="007118E1" w:rsidRDefault="00EE103A" w:rsidP="009C7478">
            <w:pPr>
              <w:autoSpaceDE w:val="0"/>
              <w:autoSpaceDN w:val="0"/>
              <w:adjustRightInd w:val="0"/>
            </w:pPr>
            <w:r>
              <w:t>May 2023</w:t>
            </w:r>
          </w:p>
        </w:tc>
        <w:tc>
          <w:tcPr>
            <w:tcW w:w="4148" w:type="dxa"/>
          </w:tcPr>
          <w:p w14:paraId="7344D2AE" w14:textId="3FF65953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Have had </w:t>
            </w:r>
            <w:r w:rsidR="00EE103A">
              <w:t>several</w:t>
            </w:r>
            <w:r>
              <w:t xml:space="preserve"> meetings with OMB to lay the groundwork and modifications and updates underway.</w:t>
            </w:r>
            <w:r w:rsidR="00EE103A">
              <w:t xml:space="preserve">  Follow up meeting scheduled for April 20</w:t>
            </w:r>
            <w:r w:rsidR="00EE103A" w:rsidRPr="00EE103A">
              <w:rPr>
                <w:vertAlign w:val="superscript"/>
              </w:rPr>
              <w:t>th</w:t>
            </w:r>
            <w:r w:rsidR="00EE103A">
              <w:t xml:space="preserve"> to review updates.</w:t>
            </w:r>
            <w:r w:rsidR="003B7826">
              <w:t xml:space="preserve">  The name of this scenario may be changed to </w:t>
            </w:r>
            <w:proofErr w:type="gramStart"/>
            <w:r w:rsidR="003B7826">
              <w:t>say</w:t>
            </w:r>
            <w:proofErr w:type="gramEnd"/>
            <w:r w:rsidR="003B7826">
              <w:t xml:space="preserve"> “Non Expenditure Transfers.”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78981756" w:rsidR="007118E1" w:rsidRDefault="007B4D1B" w:rsidP="009C7478">
            <w:pPr>
              <w:autoSpaceDE w:val="0"/>
              <w:autoSpaceDN w:val="0"/>
              <w:adjustRightInd w:val="0"/>
            </w:pPr>
            <w:r>
              <w:t>August</w:t>
            </w:r>
            <w:r w:rsidR="007118E1">
              <w:t xml:space="preserve"> IRC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57602F7B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August </w:t>
            </w:r>
            <w:r w:rsidR="007118E1">
              <w:t>IRC</w:t>
            </w:r>
          </w:p>
        </w:tc>
        <w:tc>
          <w:tcPr>
            <w:tcW w:w="4148" w:type="dxa"/>
          </w:tcPr>
          <w:p w14:paraId="6A37EBAE" w14:textId="7BA4D5EF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CADE907" w14:textId="77777777" w:rsidTr="007B4D1B">
        <w:tc>
          <w:tcPr>
            <w:tcW w:w="2709" w:type="dxa"/>
          </w:tcPr>
          <w:p w14:paraId="485080A3" w14:textId="5D2C6804" w:rsidR="007118E1" w:rsidRDefault="007118E1" w:rsidP="009C7478">
            <w:pPr>
              <w:autoSpaceDE w:val="0"/>
              <w:autoSpaceDN w:val="0"/>
              <w:adjustRightInd w:val="0"/>
            </w:pPr>
            <w:r>
              <w:t>Leases -Intragovernmental</w:t>
            </w:r>
          </w:p>
        </w:tc>
        <w:tc>
          <w:tcPr>
            <w:tcW w:w="1853" w:type="dxa"/>
          </w:tcPr>
          <w:p w14:paraId="5363C840" w14:textId="053521CC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2002 </w:t>
            </w:r>
            <w:r w:rsidR="00D67A15">
              <w:t>based on SFFAS 5/6, 2023 based on SFFAS 54</w:t>
            </w:r>
          </w:p>
        </w:tc>
        <w:tc>
          <w:tcPr>
            <w:tcW w:w="2180" w:type="dxa"/>
          </w:tcPr>
          <w:p w14:paraId="26F9CB1E" w14:textId="18865AB5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57F2121E" w14:textId="4D7E5807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</w:p>
        </w:tc>
      </w:tr>
      <w:tr w:rsidR="007118E1" w14:paraId="794C5848" w14:textId="77777777" w:rsidTr="007B4D1B">
        <w:tc>
          <w:tcPr>
            <w:tcW w:w="2709" w:type="dxa"/>
          </w:tcPr>
          <w:p w14:paraId="36D1B378" w14:textId="56D4ECB6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Short Term</w:t>
            </w:r>
          </w:p>
        </w:tc>
        <w:tc>
          <w:tcPr>
            <w:tcW w:w="1853" w:type="dxa"/>
          </w:tcPr>
          <w:p w14:paraId="25DEDB3C" w14:textId="69DD3D7F" w:rsidR="007118E1" w:rsidRDefault="00D67A15" w:rsidP="009C7478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57F7F4C6" w14:textId="5162ED90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5E763E99" w14:textId="565B7518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</w:p>
        </w:tc>
      </w:tr>
      <w:tr w:rsidR="007118E1" w14:paraId="120B6514" w14:textId="77777777" w:rsidTr="007B4D1B">
        <w:tc>
          <w:tcPr>
            <w:tcW w:w="2709" w:type="dxa"/>
          </w:tcPr>
          <w:p w14:paraId="42B5CFE3" w14:textId="290BA38C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Capital)</w:t>
            </w:r>
          </w:p>
        </w:tc>
        <w:tc>
          <w:tcPr>
            <w:tcW w:w="1853" w:type="dxa"/>
          </w:tcPr>
          <w:p w14:paraId="53F51E31" w14:textId="2DB66A46" w:rsidR="007118E1" w:rsidRDefault="00D67A15" w:rsidP="009C7478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7D9418C3" w14:textId="44787B07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3586DE50" w14:textId="7C45E6B9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</w:p>
        </w:tc>
      </w:tr>
      <w:tr w:rsidR="007118E1" w14:paraId="3F087A4A" w14:textId="77777777" w:rsidTr="007B4D1B">
        <w:tc>
          <w:tcPr>
            <w:tcW w:w="2709" w:type="dxa"/>
          </w:tcPr>
          <w:p w14:paraId="1EB31E9D" w14:textId="2D25BDC2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Operating no cancellation)</w:t>
            </w:r>
          </w:p>
        </w:tc>
        <w:tc>
          <w:tcPr>
            <w:tcW w:w="1853" w:type="dxa"/>
          </w:tcPr>
          <w:p w14:paraId="58AA39B0" w14:textId="0F4A8580" w:rsidR="007118E1" w:rsidRDefault="00D67A15" w:rsidP="009C7478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1573E7D0" w14:textId="7AD6139E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1A90C5FF" w14:textId="32BBA3A9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</w:p>
        </w:tc>
      </w:tr>
      <w:tr w:rsidR="007118E1" w14:paraId="71C14ED4" w14:textId="77777777" w:rsidTr="007B4D1B">
        <w:tc>
          <w:tcPr>
            <w:tcW w:w="2709" w:type="dxa"/>
          </w:tcPr>
          <w:p w14:paraId="00E3C728" w14:textId="01AF958A" w:rsidR="007118E1" w:rsidRDefault="007118E1" w:rsidP="009C7478">
            <w:pPr>
              <w:autoSpaceDE w:val="0"/>
              <w:autoSpaceDN w:val="0"/>
              <w:adjustRightInd w:val="0"/>
            </w:pPr>
            <w:r>
              <w:t>Leases – RTU (Budgetary Operating with cancellation)</w:t>
            </w:r>
          </w:p>
        </w:tc>
        <w:tc>
          <w:tcPr>
            <w:tcW w:w="1853" w:type="dxa"/>
          </w:tcPr>
          <w:p w14:paraId="3D5C0CE4" w14:textId="745E95C7" w:rsidR="007118E1" w:rsidRDefault="00D67A15" w:rsidP="009C7478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0DA669BB" w14:textId="555CD8E5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4432F3D7" w14:textId="1A2E653D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</w:p>
        </w:tc>
      </w:tr>
      <w:tr w:rsidR="00EF049F" w14:paraId="6BDB58B7" w14:textId="77777777" w:rsidTr="007B4D1B">
        <w:tc>
          <w:tcPr>
            <w:tcW w:w="2709" w:type="dxa"/>
          </w:tcPr>
          <w:p w14:paraId="381C7A31" w14:textId="05293BC8" w:rsidR="00EF049F" w:rsidRDefault="00EF049F" w:rsidP="009C7478">
            <w:pPr>
              <w:autoSpaceDE w:val="0"/>
              <w:autoSpaceDN w:val="0"/>
              <w:adjustRightInd w:val="0"/>
            </w:pPr>
            <w:r>
              <w:lastRenderedPageBreak/>
              <w:t>Technology Modernization Fund (Addendum #2)</w:t>
            </w:r>
          </w:p>
        </w:tc>
        <w:tc>
          <w:tcPr>
            <w:tcW w:w="1853" w:type="dxa"/>
          </w:tcPr>
          <w:p w14:paraId="37887BD9" w14:textId="10BA36E6" w:rsidR="00EF049F" w:rsidRDefault="00EF049F" w:rsidP="009C7478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2180" w:type="dxa"/>
          </w:tcPr>
          <w:p w14:paraId="0A0409B4" w14:textId="693A1C81" w:rsidR="00EF049F" w:rsidRDefault="00EF049F" w:rsidP="009C7478">
            <w:pPr>
              <w:autoSpaceDE w:val="0"/>
              <w:autoSpaceDN w:val="0"/>
              <w:adjustRightInd w:val="0"/>
            </w:pPr>
            <w:r>
              <w:t>4/30/23</w:t>
            </w:r>
          </w:p>
        </w:tc>
        <w:tc>
          <w:tcPr>
            <w:tcW w:w="4148" w:type="dxa"/>
          </w:tcPr>
          <w:p w14:paraId="57F4F802" w14:textId="6662C350" w:rsidR="00EF049F" w:rsidRDefault="00EF049F" w:rsidP="009C7478">
            <w:pPr>
              <w:autoSpaceDE w:val="0"/>
              <w:autoSpaceDN w:val="0"/>
              <w:adjustRightInd w:val="0"/>
            </w:pPr>
            <w:r>
              <w:t>GLAB has collaborated with OMB and GSA on Addendum #2 which will address Trust Funds.  We are currently working on adding the addendum.</w:t>
            </w:r>
          </w:p>
        </w:tc>
      </w:tr>
      <w:tr w:rsidR="00EF049F" w14:paraId="19026865" w14:textId="77777777" w:rsidTr="007B4D1B">
        <w:tc>
          <w:tcPr>
            <w:tcW w:w="2709" w:type="dxa"/>
          </w:tcPr>
          <w:p w14:paraId="478AE3CB" w14:textId="717C87AE" w:rsidR="00EF049F" w:rsidRDefault="00EF049F" w:rsidP="009C7478">
            <w:pPr>
              <w:autoSpaceDE w:val="0"/>
              <w:autoSpaceDN w:val="0"/>
              <w:adjustRightInd w:val="0"/>
            </w:pPr>
            <w:r>
              <w:t>Foreign Military Sales</w:t>
            </w:r>
          </w:p>
        </w:tc>
        <w:tc>
          <w:tcPr>
            <w:tcW w:w="1853" w:type="dxa"/>
          </w:tcPr>
          <w:p w14:paraId="3651C1AE" w14:textId="55760160" w:rsidR="00EF049F" w:rsidRDefault="00EF049F" w:rsidP="009C7478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9800F5E" w14:textId="53493530" w:rsidR="00EF049F" w:rsidRDefault="00DB3752" w:rsidP="009C7478">
            <w:pPr>
              <w:autoSpaceDE w:val="0"/>
              <w:autoSpaceDN w:val="0"/>
              <w:adjustRightInd w:val="0"/>
            </w:pPr>
            <w:r>
              <w:t xml:space="preserve">June </w:t>
            </w:r>
            <w:r w:rsidR="00EF049F">
              <w:t>2023</w:t>
            </w:r>
          </w:p>
        </w:tc>
        <w:tc>
          <w:tcPr>
            <w:tcW w:w="4148" w:type="dxa"/>
          </w:tcPr>
          <w:p w14:paraId="40DA7D36" w14:textId="0E0B87D1" w:rsidR="00EF049F" w:rsidRDefault="00EF049F" w:rsidP="009C7478">
            <w:pPr>
              <w:autoSpaceDE w:val="0"/>
              <w:autoSpaceDN w:val="0"/>
              <w:adjustRightInd w:val="0"/>
            </w:pPr>
            <w:r>
              <w:t xml:space="preserve">GLAB has worked extensively with DoD to assist in </w:t>
            </w:r>
            <w:r w:rsidR="00DB3752">
              <w:t>formulating</w:t>
            </w:r>
            <w:r>
              <w:t xml:space="preserve"> the FMS Scenario.  </w:t>
            </w:r>
            <w:r w:rsidR="00DB3752">
              <w:t>OMB concurrence has not fully happened yet.</w:t>
            </w:r>
          </w:p>
        </w:tc>
      </w:tr>
    </w:tbl>
    <w:p w14:paraId="04FDE5F9" w14:textId="406913E6" w:rsidR="00381CE8" w:rsidRPr="009C7478" w:rsidRDefault="00381CE8" w:rsidP="005570DB">
      <w:pPr>
        <w:autoSpaceDE w:val="0"/>
        <w:autoSpaceDN w:val="0"/>
        <w:adjustRightInd w:val="0"/>
        <w:spacing w:after="0" w:line="240" w:lineRule="auto"/>
      </w:pPr>
    </w:p>
    <w:sectPr w:rsidR="00381CE8" w:rsidRPr="009C7478" w:rsidSect="007D4D75">
      <w:footerReference w:type="default" r:id="rId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42006CF8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>IRC Handout 0</w:t>
            </w:r>
            <w:r w:rsidR="00EF049F">
              <w:rPr>
                <w:b/>
                <w:bCs/>
              </w:rPr>
              <w:t>4</w:t>
            </w:r>
            <w:r w:rsidRPr="00745D48">
              <w:rPr>
                <w:b/>
                <w:bCs/>
              </w:rPr>
              <w:t>/</w:t>
            </w:r>
            <w:r w:rsidR="00EF049F">
              <w:rPr>
                <w:b/>
                <w:bCs/>
              </w:rPr>
              <w:t>20</w:t>
            </w:r>
            <w:r w:rsidRPr="00745D48">
              <w:rPr>
                <w:b/>
                <w:bCs/>
              </w:rPr>
              <w:t>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C10C6"/>
    <w:rsid w:val="001D2FAF"/>
    <w:rsid w:val="001F5408"/>
    <w:rsid w:val="00261747"/>
    <w:rsid w:val="002B00EE"/>
    <w:rsid w:val="002B301B"/>
    <w:rsid w:val="00343BB0"/>
    <w:rsid w:val="00381CE8"/>
    <w:rsid w:val="00383A13"/>
    <w:rsid w:val="003A759C"/>
    <w:rsid w:val="003B675E"/>
    <w:rsid w:val="003B7826"/>
    <w:rsid w:val="003C711F"/>
    <w:rsid w:val="003E7E5B"/>
    <w:rsid w:val="004B131E"/>
    <w:rsid w:val="00522642"/>
    <w:rsid w:val="005570DB"/>
    <w:rsid w:val="0061370D"/>
    <w:rsid w:val="006F6AB0"/>
    <w:rsid w:val="007118E1"/>
    <w:rsid w:val="00745D48"/>
    <w:rsid w:val="007673FB"/>
    <w:rsid w:val="007B4D1B"/>
    <w:rsid w:val="007D4D75"/>
    <w:rsid w:val="007F337A"/>
    <w:rsid w:val="00800998"/>
    <w:rsid w:val="0081279B"/>
    <w:rsid w:val="00865DC3"/>
    <w:rsid w:val="008A0952"/>
    <w:rsid w:val="008A33F8"/>
    <w:rsid w:val="00906CC5"/>
    <w:rsid w:val="009333AA"/>
    <w:rsid w:val="009A1003"/>
    <w:rsid w:val="009C4DAD"/>
    <w:rsid w:val="009C7478"/>
    <w:rsid w:val="00A43F75"/>
    <w:rsid w:val="00A87B86"/>
    <w:rsid w:val="00A90A83"/>
    <w:rsid w:val="00AC44E3"/>
    <w:rsid w:val="00AE75F2"/>
    <w:rsid w:val="00B55DE8"/>
    <w:rsid w:val="00BA7024"/>
    <w:rsid w:val="00BB25CF"/>
    <w:rsid w:val="00BC7F64"/>
    <w:rsid w:val="00C11201"/>
    <w:rsid w:val="00C4296E"/>
    <w:rsid w:val="00C92C7F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36D30"/>
    <w:rsid w:val="00E90FAD"/>
    <w:rsid w:val="00E92CA0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Elizabeth W. Burke</cp:lastModifiedBy>
  <cp:revision>2</cp:revision>
  <dcterms:created xsi:type="dcterms:W3CDTF">2023-04-17T18:11:00Z</dcterms:created>
  <dcterms:modified xsi:type="dcterms:W3CDTF">2023-04-17T18:11:00Z</dcterms:modified>
</cp:coreProperties>
</file>