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21" w:rsidRPr="008B0F08" w:rsidRDefault="00443C21" w:rsidP="00443C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0F08">
        <w:rPr>
          <w:rFonts w:ascii="Times New Roman" w:hAnsi="Times New Roman"/>
          <w:b/>
          <w:sz w:val="24"/>
          <w:szCs w:val="24"/>
        </w:rPr>
        <w:t>Exchange Stabilization Fund Changes</w:t>
      </w:r>
    </w:p>
    <w:p w:rsidR="00443C21" w:rsidRPr="008B0F08" w:rsidRDefault="00443C21" w:rsidP="00443C21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3C21" w:rsidRPr="00AE4EAF" w:rsidRDefault="00443C21" w:rsidP="00443C2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E4EAF">
        <w:rPr>
          <w:rFonts w:ascii="Times New Roman" w:hAnsi="Times New Roman"/>
          <w:b/>
          <w:i/>
          <w:sz w:val="24"/>
          <w:szCs w:val="24"/>
          <w:u w:val="single"/>
        </w:rPr>
        <w:t xml:space="preserve">Proposed New </w:t>
      </w:r>
      <w:proofErr w:type="spellStart"/>
      <w:r w:rsidRPr="00AE4EAF">
        <w:rPr>
          <w:rFonts w:ascii="Times New Roman" w:hAnsi="Times New Roman"/>
          <w:b/>
          <w:i/>
          <w:sz w:val="24"/>
          <w:szCs w:val="24"/>
          <w:u w:val="single"/>
        </w:rPr>
        <w:t>USSGL</w:t>
      </w:r>
      <w:proofErr w:type="spellEnd"/>
      <w:r w:rsidRPr="00AE4EAF">
        <w:rPr>
          <w:rFonts w:ascii="Times New Roman" w:hAnsi="Times New Roman"/>
          <w:b/>
          <w:i/>
          <w:sz w:val="24"/>
          <w:szCs w:val="24"/>
          <w:u w:val="single"/>
        </w:rPr>
        <w:t xml:space="preserve"> Account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2017</w:t>
      </w:r>
      <w:r w:rsidRPr="00AE4EAF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443C21" w:rsidRDefault="00443C21" w:rsidP="00443C2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Account Title:  </w:t>
      </w:r>
      <w:r>
        <w:rPr>
          <w:rFonts w:ascii="Times New Roman" w:hAnsi="Times New Roman"/>
          <w:sz w:val="20"/>
          <w:szCs w:val="20"/>
        </w:rPr>
        <w:t>Interest Collected From Foreign Securities and Special Drawing Rights (</w:t>
      </w:r>
      <w:proofErr w:type="spellStart"/>
      <w:r>
        <w:rPr>
          <w:rFonts w:ascii="Times New Roman" w:hAnsi="Times New Roman"/>
          <w:sz w:val="20"/>
          <w:szCs w:val="20"/>
        </w:rPr>
        <w:t>SDR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Account Number:  </w:t>
      </w:r>
      <w:r>
        <w:rPr>
          <w:rFonts w:ascii="Times New Roman" w:hAnsi="Times New Roman"/>
          <w:sz w:val="20"/>
          <w:szCs w:val="20"/>
        </w:rPr>
        <w:t>426800</w:t>
      </w: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Normal Balance:  </w:t>
      </w:r>
      <w:r>
        <w:rPr>
          <w:rFonts w:ascii="Times New Roman" w:hAnsi="Times New Roman"/>
          <w:sz w:val="20"/>
          <w:szCs w:val="20"/>
        </w:rPr>
        <w:t>Debit</w:t>
      </w: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Definition:  </w:t>
      </w:r>
      <w:r>
        <w:rPr>
          <w:rFonts w:ascii="Times New Roman" w:hAnsi="Times New Roman"/>
          <w:sz w:val="20"/>
          <w:szCs w:val="20"/>
        </w:rPr>
        <w:t xml:space="preserve">The amount of interest collected during the fiscal year from foreign securities.  The amount of the net change consisting of interest, charges and assessments related to </w:t>
      </w:r>
      <w:proofErr w:type="spellStart"/>
      <w:r>
        <w:rPr>
          <w:rFonts w:ascii="Times New Roman" w:hAnsi="Times New Roman"/>
          <w:sz w:val="20"/>
          <w:szCs w:val="20"/>
        </w:rPr>
        <w:t>SDR’s</w:t>
      </w:r>
      <w:proofErr w:type="spellEnd"/>
      <w:r>
        <w:rPr>
          <w:rFonts w:ascii="Times New Roman" w:hAnsi="Times New Roman"/>
          <w:sz w:val="20"/>
          <w:szCs w:val="20"/>
        </w:rPr>
        <w:t xml:space="preserve">.  Although the normal balance in this account is a debit, it is acceptable in certain instances for this account to have a credit balance when a loss is recognized.  This </w:t>
      </w:r>
      <w:proofErr w:type="spellStart"/>
      <w:r>
        <w:rPr>
          <w:rFonts w:ascii="Times New Roman" w:hAnsi="Times New Roman"/>
          <w:sz w:val="20"/>
          <w:szCs w:val="20"/>
        </w:rPr>
        <w:t>USSGL</w:t>
      </w:r>
      <w:proofErr w:type="spellEnd"/>
      <w:r>
        <w:rPr>
          <w:rFonts w:ascii="Times New Roman" w:hAnsi="Times New Roman"/>
          <w:sz w:val="20"/>
          <w:szCs w:val="20"/>
        </w:rPr>
        <w:t xml:space="preserve"> account is to be used only by the Department of the Treasury.</w:t>
      </w: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</w:p>
    <w:p w:rsidR="00443C21" w:rsidRDefault="00443C21" w:rsidP="00443C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Justification:  </w:t>
      </w:r>
      <w:r>
        <w:rPr>
          <w:rFonts w:ascii="Times New Roman" w:hAnsi="Times New Roman"/>
          <w:sz w:val="20"/>
          <w:szCs w:val="20"/>
        </w:rPr>
        <w:t>The Exchange Stabilization Fund is now incurring negative interest in their foreign investments.</w:t>
      </w:r>
    </w:p>
    <w:p w:rsidR="006D456A" w:rsidRDefault="006D456A" w:rsidP="00443C21"/>
    <w:p w:rsidR="00443C21" w:rsidRPr="00AE4EAF" w:rsidRDefault="00443C21" w:rsidP="00443C21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E4EAF">
        <w:rPr>
          <w:rFonts w:ascii="Times New Roman" w:eastAsia="Times New Roman" w:hAnsi="Times New Roman"/>
          <w:b/>
          <w:i/>
          <w:sz w:val="24"/>
          <w:szCs w:val="24"/>
          <w:u w:val="single"/>
        </w:rPr>
        <w:t>Attribute Table Changes for FY 2017:</w:t>
      </w:r>
    </w:p>
    <w:p w:rsidR="00443C21" w:rsidRDefault="00443C21" w:rsidP="00443C2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3502"/>
        <w:gridCol w:w="774"/>
        <w:gridCol w:w="720"/>
        <w:gridCol w:w="720"/>
        <w:gridCol w:w="720"/>
        <w:gridCol w:w="810"/>
        <w:gridCol w:w="720"/>
        <w:gridCol w:w="900"/>
        <w:gridCol w:w="900"/>
      </w:tblGrid>
      <w:tr w:rsidR="00443C21" w:rsidRPr="00D07A43" w:rsidTr="000B0880">
        <w:tc>
          <w:tcPr>
            <w:tcW w:w="872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USSGL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Acct</w:t>
            </w:r>
            <w:r w:rsidRPr="00D07A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02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7A43">
              <w:rPr>
                <w:rFonts w:ascii="Times New Roman" w:hAnsi="Times New Roman"/>
                <w:b/>
                <w:sz w:val="20"/>
                <w:szCs w:val="20"/>
              </w:rPr>
              <w:t>USSGL</w:t>
            </w:r>
            <w:proofErr w:type="spellEnd"/>
            <w:r w:rsidRPr="00D07A43">
              <w:rPr>
                <w:rFonts w:ascii="Times New Roman" w:hAnsi="Times New Roman"/>
                <w:b/>
                <w:sz w:val="20"/>
                <w:szCs w:val="20"/>
              </w:rPr>
              <w:t xml:space="preserve"> Account Title</w:t>
            </w:r>
          </w:p>
        </w:tc>
        <w:tc>
          <w:tcPr>
            <w:tcW w:w="774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Anticipated</w:t>
            </w:r>
          </w:p>
        </w:tc>
        <w:tc>
          <w:tcPr>
            <w:tcW w:w="72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Budg</w:t>
            </w:r>
            <w:proofErr w:type="spellEnd"/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/Prop</w:t>
            </w:r>
          </w:p>
        </w:tc>
        <w:tc>
          <w:tcPr>
            <w:tcW w:w="72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Norm</w:t>
            </w:r>
          </w:p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</w:t>
            </w:r>
          </w:p>
        </w:tc>
        <w:tc>
          <w:tcPr>
            <w:tcW w:w="72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Begin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/End</w:t>
            </w:r>
          </w:p>
        </w:tc>
        <w:tc>
          <w:tcPr>
            <w:tcW w:w="810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Debit/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72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Auth</w:t>
            </w:r>
            <w:proofErr w:type="spellEnd"/>
          </w:p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tc>
          <w:tcPr>
            <w:tcW w:w="90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Apport</w:t>
            </w:r>
            <w:proofErr w:type="spellEnd"/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90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Apport</w:t>
            </w:r>
            <w:proofErr w:type="spellEnd"/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 B</w:t>
            </w:r>
          </w:p>
        </w:tc>
      </w:tr>
      <w:tr w:rsidR="00443C21" w:rsidRPr="00D07A43" w:rsidTr="000B0880">
        <w:tc>
          <w:tcPr>
            <w:tcW w:w="872" w:type="dxa"/>
            <w:shd w:val="clear" w:color="auto" w:fill="FFFF00"/>
          </w:tcPr>
          <w:p w:rsidR="00443C21" w:rsidRDefault="00443C21" w:rsidP="000B08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426800</w:t>
            </w:r>
          </w:p>
        </w:tc>
        <w:tc>
          <w:tcPr>
            <w:tcW w:w="3502" w:type="dxa"/>
            <w:shd w:val="clear" w:color="auto" w:fill="FFFF0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Interest Collected From Foreign Securities and Special Drawing Rights</w:t>
            </w:r>
          </w:p>
        </w:tc>
        <w:tc>
          <w:tcPr>
            <w:tcW w:w="774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81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D/C</w:t>
            </w:r>
          </w:p>
        </w:tc>
        <w:tc>
          <w:tcPr>
            <w:tcW w:w="72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443C21" w:rsidRPr="00443C21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C21" w:rsidRDefault="00443C21" w:rsidP="00443C21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676"/>
        <w:gridCol w:w="630"/>
        <w:gridCol w:w="1170"/>
        <w:gridCol w:w="900"/>
        <w:gridCol w:w="990"/>
        <w:gridCol w:w="990"/>
        <w:gridCol w:w="900"/>
        <w:gridCol w:w="990"/>
        <w:gridCol w:w="990"/>
        <w:gridCol w:w="810"/>
        <w:gridCol w:w="1170"/>
      </w:tblGrid>
      <w:tr w:rsidR="00443C21" w:rsidTr="000B0880">
        <w:tc>
          <w:tcPr>
            <w:tcW w:w="872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USSGL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Acct</w:t>
            </w:r>
            <w:r w:rsidRPr="00D07A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76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Avail</w:t>
            </w:r>
          </w:p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BEA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117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Budgetary</w:t>
            </w:r>
          </w:p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Impact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90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Cohort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Cust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Noncust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Exch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Nonexch</w:t>
            </w:r>
            <w:proofErr w:type="spellEnd"/>
          </w:p>
        </w:tc>
        <w:tc>
          <w:tcPr>
            <w:tcW w:w="90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Fed/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NonFed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Trading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Ptnr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Trading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Pntr</w:t>
            </w:r>
            <w:proofErr w:type="spellEnd"/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Main</w:t>
            </w:r>
          </w:p>
        </w:tc>
        <w:tc>
          <w:tcPr>
            <w:tcW w:w="81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PY</w:t>
            </w:r>
            <w:proofErr w:type="spellEnd"/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117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Indicator</w:t>
            </w:r>
          </w:p>
        </w:tc>
      </w:tr>
      <w:tr w:rsidR="00443C21" w:rsidRPr="00D07A43" w:rsidTr="000B0880">
        <w:tc>
          <w:tcPr>
            <w:tcW w:w="872" w:type="dxa"/>
          </w:tcPr>
          <w:p w:rsidR="00443C21" w:rsidRPr="009718B3" w:rsidRDefault="00443C21" w:rsidP="000B08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18B3">
              <w:rPr>
                <w:rFonts w:ascii="Times New Roman" w:hAnsi="Times New Roman"/>
                <w:sz w:val="20"/>
                <w:szCs w:val="20"/>
                <w:highlight w:val="yellow"/>
              </w:rPr>
              <w:t>426800</w:t>
            </w:r>
          </w:p>
        </w:tc>
        <w:tc>
          <w:tcPr>
            <w:tcW w:w="676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18B3">
              <w:rPr>
                <w:rFonts w:ascii="Times New Roman" w:hAnsi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</w:tcPr>
          <w:p w:rsidR="00443C21" w:rsidRPr="009718B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18B3">
              <w:rPr>
                <w:rFonts w:ascii="Times New Roman" w:hAnsi="Times New Roman"/>
                <w:sz w:val="20"/>
                <w:szCs w:val="20"/>
                <w:highlight w:val="yellow"/>
              </w:rPr>
              <w:t>B/P/X</w:t>
            </w:r>
          </w:p>
        </w:tc>
        <w:tc>
          <w:tcPr>
            <w:tcW w:w="1170" w:type="dxa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C21" w:rsidRDefault="00443C21" w:rsidP="00443C21"/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036"/>
        <w:gridCol w:w="810"/>
        <w:gridCol w:w="810"/>
        <w:gridCol w:w="1170"/>
        <w:gridCol w:w="720"/>
        <w:gridCol w:w="1170"/>
        <w:gridCol w:w="1080"/>
        <w:gridCol w:w="810"/>
        <w:gridCol w:w="1080"/>
      </w:tblGrid>
      <w:tr w:rsidR="00443C21" w:rsidTr="000B0880">
        <w:tc>
          <w:tcPr>
            <w:tcW w:w="872" w:type="dxa"/>
            <w:shd w:val="clear" w:color="auto" w:fill="C0C0C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USSGL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Acct</w:t>
            </w:r>
            <w:r w:rsidRPr="00D07A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Rpt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Cat</w:t>
            </w:r>
          </w:p>
        </w:tc>
        <w:tc>
          <w:tcPr>
            <w:tcW w:w="81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Reimb</w:t>
            </w:r>
            <w:proofErr w:type="spellEnd"/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Flag</w:t>
            </w:r>
          </w:p>
        </w:tc>
        <w:tc>
          <w:tcPr>
            <w:tcW w:w="81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 BA</w:t>
            </w:r>
          </w:p>
        </w:tc>
        <w:tc>
          <w:tcPr>
            <w:tcW w:w="117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Reduction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2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Fund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170" w:type="dxa"/>
            <w:shd w:val="clear" w:color="auto" w:fill="C0C0C0"/>
          </w:tcPr>
          <w:p w:rsidR="00443C21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Reporting</w:t>
            </w:r>
          </w:p>
          <w:p w:rsidR="00443C21" w:rsidRPr="00D07A43" w:rsidRDefault="00443C21" w:rsidP="000B088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 Code</w:t>
            </w:r>
          </w:p>
        </w:tc>
        <w:tc>
          <w:tcPr>
            <w:tcW w:w="108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Financing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Account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tc>
          <w:tcPr>
            <w:tcW w:w="81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TAS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1080" w:type="dxa"/>
            <w:shd w:val="clear" w:color="auto" w:fill="C0C0C0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Trans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</w:tr>
      <w:tr w:rsidR="00443C21" w:rsidRPr="00D07A43" w:rsidTr="000B0880">
        <w:tc>
          <w:tcPr>
            <w:tcW w:w="872" w:type="dxa"/>
            <w:shd w:val="clear" w:color="auto" w:fill="FFFF00"/>
          </w:tcPr>
          <w:p w:rsidR="00443C21" w:rsidRDefault="00443C21" w:rsidP="000B08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426800</w:t>
            </w:r>
          </w:p>
        </w:tc>
        <w:tc>
          <w:tcPr>
            <w:tcW w:w="1036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117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8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1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80" w:type="dxa"/>
            <w:shd w:val="clear" w:color="auto" w:fill="FFFF00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</w:tbl>
    <w:p w:rsidR="00443C21" w:rsidRDefault="00443C21" w:rsidP="00443C2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43C21" w:rsidRDefault="00443C21" w:rsidP="00443C2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43C21" w:rsidRDefault="00443C21" w:rsidP="00443C21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0"/>
        <w:gridCol w:w="1170"/>
        <w:gridCol w:w="900"/>
        <w:gridCol w:w="1080"/>
        <w:gridCol w:w="1530"/>
        <w:gridCol w:w="990"/>
        <w:gridCol w:w="1260"/>
        <w:gridCol w:w="1260"/>
      </w:tblGrid>
      <w:tr w:rsidR="00443C21" w:rsidRPr="001C3057" w:rsidTr="00443C21">
        <w:tc>
          <w:tcPr>
            <w:tcW w:w="108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USSGL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Account</w:t>
            </w:r>
          </w:p>
        </w:tc>
        <w:tc>
          <w:tcPr>
            <w:tcW w:w="81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SF 133</w:t>
            </w:r>
          </w:p>
        </w:tc>
        <w:tc>
          <w:tcPr>
            <w:tcW w:w="117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Schedule P</w:t>
            </w:r>
          </w:p>
        </w:tc>
        <w:tc>
          <w:tcPr>
            <w:tcW w:w="90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Bal Sheet</w:t>
            </w:r>
          </w:p>
        </w:tc>
        <w:tc>
          <w:tcPr>
            <w:tcW w:w="108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Stmt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of Net Cost</w:t>
            </w:r>
          </w:p>
        </w:tc>
        <w:tc>
          <w:tcPr>
            <w:tcW w:w="153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Stmt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of Changes in Net  </w:t>
            </w: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99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Stmt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Cust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Activ</w:t>
            </w:r>
            <w:proofErr w:type="spellEnd"/>
          </w:p>
        </w:tc>
        <w:tc>
          <w:tcPr>
            <w:tcW w:w="1260" w:type="dxa"/>
            <w:vAlign w:val="bottom"/>
          </w:tcPr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Stmt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Budg</w:t>
            </w:r>
            <w:proofErr w:type="spellEnd"/>
          </w:p>
          <w:p w:rsidR="00443C21" w:rsidRPr="001C3057" w:rsidRDefault="00443C21" w:rsidP="000B08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Res</w:t>
            </w:r>
          </w:p>
        </w:tc>
        <w:tc>
          <w:tcPr>
            <w:tcW w:w="1260" w:type="dxa"/>
            <w:vAlign w:val="bottom"/>
          </w:tcPr>
          <w:p w:rsidR="00443C21" w:rsidRPr="001C3057" w:rsidRDefault="00443C21" w:rsidP="000B0880">
            <w:pPr>
              <w:spacing w:after="0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Reclass</w:t>
            </w:r>
            <w:proofErr w:type="spellEnd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3057">
              <w:rPr>
                <w:rFonts w:ascii="Times New Roman" w:hAnsi="Times New Roman"/>
                <w:b/>
                <w:sz w:val="24"/>
                <w:szCs w:val="24"/>
              </w:rPr>
              <w:t>Stmts</w:t>
            </w:r>
            <w:proofErr w:type="spellEnd"/>
          </w:p>
        </w:tc>
      </w:tr>
      <w:tr w:rsidR="00443C21" w:rsidTr="00443C21">
        <w:tc>
          <w:tcPr>
            <w:tcW w:w="1080" w:type="dxa"/>
            <w:shd w:val="clear" w:color="auto" w:fill="FFFF00"/>
            <w:vAlign w:val="center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426800</w:t>
            </w:r>
          </w:p>
        </w:tc>
        <w:tc>
          <w:tcPr>
            <w:tcW w:w="810" w:type="dxa"/>
            <w:shd w:val="clear" w:color="auto" w:fill="FFFF00"/>
            <w:vAlign w:val="bottom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Lines 1020 1800 </w:t>
            </w:r>
          </w:p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4123</w:t>
            </w:r>
          </w:p>
        </w:tc>
        <w:tc>
          <w:tcPr>
            <w:tcW w:w="1170" w:type="dxa"/>
            <w:shd w:val="clear" w:color="auto" w:fill="FFFF00"/>
            <w:vAlign w:val="bottom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Lines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1800</w:t>
            </w:r>
          </w:p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4123</w:t>
            </w:r>
          </w:p>
        </w:tc>
        <w:tc>
          <w:tcPr>
            <w:tcW w:w="900" w:type="dxa"/>
            <w:shd w:val="clear" w:color="auto" w:fill="FFFF00"/>
            <w:vAlign w:val="bottom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530" w:type="dxa"/>
            <w:shd w:val="clear" w:color="auto" w:fill="FFFF00"/>
            <w:vAlign w:val="bottom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Lines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1890</w:t>
            </w:r>
          </w:p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4176</w:t>
            </w:r>
          </w:p>
          <w:p w:rsidR="00443C21" w:rsidRPr="00D07A43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4187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443C21" w:rsidRDefault="00443C21" w:rsidP="000B0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</w:tbl>
    <w:p w:rsidR="00443C21" w:rsidRDefault="00443C21" w:rsidP="00443C21"/>
    <w:p w:rsidR="00443C21" w:rsidRDefault="00EA6851">
      <w:pPr>
        <w:spacing w:after="0"/>
      </w:pPr>
      <w:r>
        <w:t xml:space="preserve">Validation #53 that is for </w:t>
      </w:r>
      <w:proofErr w:type="spellStart"/>
      <w:r>
        <w:t>ESF</w:t>
      </w:r>
      <w:proofErr w:type="spellEnd"/>
      <w:r>
        <w:t xml:space="preserve"> will also be updated for 426800.</w:t>
      </w:r>
      <w:r w:rsidR="00443C21">
        <w:br w:type="page"/>
      </w:r>
    </w:p>
    <w:p w:rsidR="00443C21" w:rsidRDefault="00443C21" w:rsidP="00443C21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lastRenderedPageBreak/>
        <w:t xml:space="preserve">Changes to Existing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ESF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USSGL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account 2017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Account Title:  </w:t>
      </w:r>
      <w:r w:rsidRPr="00462D96">
        <w:rPr>
          <w:rFonts w:ascii="Times New Roman" w:hAnsi="Times New Roman"/>
          <w:strike/>
          <w:color w:val="C00000"/>
          <w:sz w:val="24"/>
          <w:szCs w:val="24"/>
        </w:rPr>
        <w:t>Other</w:t>
      </w:r>
      <w:r w:rsidRPr="00462D9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83EE1">
        <w:rPr>
          <w:rFonts w:ascii="Times New Roman" w:hAnsi="Times New Roman"/>
          <w:sz w:val="24"/>
          <w:szCs w:val="24"/>
        </w:rPr>
        <w:t xml:space="preserve">Gains for </w:t>
      </w:r>
      <w:r w:rsidRPr="00B32B02">
        <w:rPr>
          <w:rFonts w:ascii="Times New Roman" w:hAnsi="Times New Roman"/>
          <w:strike/>
          <w:color w:val="C00000"/>
          <w:sz w:val="24"/>
          <w:szCs w:val="24"/>
        </w:rPr>
        <w:t>Accrued Special Drawing Right (</w:t>
      </w:r>
      <w:proofErr w:type="spellStart"/>
      <w:r w:rsidRPr="00B32B02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B32B02">
        <w:rPr>
          <w:rFonts w:ascii="Times New Roman" w:hAnsi="Times New Roman"/>
          <w:strike/>
          <w:color w:val="C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B02">
        <w:rPr>
          <w:rFonts w:ascii="Times New Roman" w:hAnsi="Times New Roman"/>
          <w:b/>
          <w:sz w:val="24"/>
          <w:szCs w:val="24"/>
        </w:rPr>
        <w:t>Exchange Stabilization Fund (</w:t>
      </w:r>
      <w:proofErr w:type="spellStart"/>
      <w:r w:rsidRPr="00B32B02">
        <w:rPr>
          <w:rFonts w:ascii="Times New Roman" w:hAnsi="Times New Roman"/>
          <w:b/>
          <w:sz w:val="24"/>
          <w:szCs w:val="24"/>
        </w:rPr>
        <w:t>ESF</w:t>
      </w:r>
      <w:proofErr w:type="spellEnd"/>
      <w:r w:rsidRPr="00B32B02">
        <w:rPr>
          <w:rFonts w:ascii="Times New Roman" w:hAnsi="Times New Roman"/>
          <w:b/>
          <w:sz w:val="24"/>
          <w:szCs w:val="24"/>
        </w:rPr>
        <w:t>) Accrued</w:t>
      </w:r>
      <w:r w:rsidRPr="00483EE1">
        <w:rPr>
          <w:rFonts w:ascii="Times New Roman" w:hAnsi="Times New Roman"/>
          <w:sz w:val="24"/>
          <w:szCs w:val="24"/>
        </w:rPr>
        <w:t xml:space="preserve"> Interest and Charges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Account Number:  </w:t>
      </w:r>
      <w:r w:rsidRPr="00483EE1">
        <w:rPr>
          <w:rFonts w:ascii="Times New Roman" w:hAnsi="Times New Roman"/>
          <w:sz w:val="24"/>
          <w:szCs w:val="24"/>
        </w:rPr>
        <w:t>719100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Normal Balance:  </w:t>
      </w:r>
      <w:r w:rsidRPr="00483EE1">
        <w:rPr>
          <w:rFonts w:ascii="Times New Roman" w:hAnsi="Times New Roman"/>
          <w:sz w:val="24"/>
          <w:szCs w:val="24"/>
        </w:rPr>
        <w:t>Credit</w:t>
      </w:r>
    </w:p>
    <w:p w:rsidR="00443C21" w:rsidRPr="00462D96" w:rsidRDefault="00443C21" w:rsidP="00443C21">
      <w:pPr>
        <w:spacing w:after="0"/>
        <w:rPr>
          <w:rFonts w:ascii="Times New Roman" w:hAnsi="Times New Roman"/>
          <w:strike/>
          <w:color w:val="C00000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Definition:  </w:t>
      </w:r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When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interest rate changes, accrued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interest/charges reflect a gain in the following circumstances: if interest rates increase, the gain is recorded in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interest; if interest rates decrease, then a gain is recorded in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charges. This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USSGL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account is to be used only by the Department of the Treasury.</w:t>
      </w:r>
    </w:p>
    <w:p w:rsidR="00443C2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</w:p>
    <w:p w:rsidR="00443C21" w:rsidRPr="00462D96" w:rsidRDefault="00443C21" w:rsidP="00443C21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  <w:r w:rsidRPr="00462D96">
        <w:rPr>
          <w:rFonts w:ascii="Times New Roman" w:hAnsi="Times New Roman"/>
          <w:b/>
          <w:sz w:val="24"/>
          <w:szCs w:val="24"/>
        </w:rPr>
        <w:t>When the Special Drawing Right (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) and foreign exchange rates change, accrued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interest/charges and accrued interest on foreign securities reflect a gain in the following circumstances: if the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-USD, Euro-USD, or Yen-USD exchange rate increases, a gain is recorded on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accrued interest and accrued interest on foreign securities as applicable; if the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-USD exchange rate decreases, a gain is recorded on accrued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charges. This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USSGL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account is to be used only by the Department of Treasury.</w:t>
      </w:r>
    </w:p>
    <w:p w:rsidR="00443C21" w:rsidRPr="00483EE1" w:rsidRDefault="00443C21" w:rsidP="00443C21">
      <w:pPr>
        <w:rPr>
          <w:rFonts w:ascii="Times New Roman" w:hAnsi="Times New Roman"/>
          <w:color w:val="1F497D"/>
          <w:sz w:val="24"/>
          <w:szCs w:val="24"/>
        </w:rPr>
      </w:pPr>
    </w:p>
    <w:p w:rsidR="00443C21" w:rsidRPr="00B32B02" w:rsidRDefault="00443C21" w:rsidP="00443C21">
      <w:pPr>
        <w:spacing w:after="0"/>
        <w:rPr>
          <w:rFonts w:ascii="Times New Roman" w:hAnsi="Times New Roman"/>
          <w:i/>
          <w:sz w:val="24"/>
          <w:szCs w:val="24"/>
        </w:rPr>
      </w:pPr>
      <w:r w:rsidRPr="00B32B02">
        <w:rPr>
          <w:rFonts w:ascii="Times New Roman" w:hAnsi="Times New Roman"/>
          <w:b/>
          <w:i/>
          <w:sz w:val="24"/>
          <w:szCs w:val="24"/>
        </w:rPr>
        <w:t xml:space="preserve">Justification:  </w:t>
      </w:r>
      <w:r w:rsidRPr="00B32B02">
        <w:rPr>
          <w:rFonts w:ascii="Times New Roman" w:hAnsi="Times New Roman"/>
          <w:i/>
          <w:sz w:val="24"/>
          <w:szCs w:val="24"/>
        </w:rPr>
        <w:t>To expand on the definition.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Account Title: </w:t>
      </w:r>
      <w:r w:rsidRPr="00462D9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Other </w:t>
      </w:r>
      <w:r w:rsidRPr="00483EE1">
        <w:rPr>
          <w:rFonts w:ascii="Times New Roman" w:hAnsi="Times New Roman"/>
          <w:sz w:val="24"/>
          <w:szCs w:val="24"/>
        </w:rPr>
        <w:t xml:space="preserve">Losses for </w:t>
      </w:r>
      <w:r w:rsidRPr="00462D96">
        <w:rPr>
          <w:rFonts w:ascii="Times New Roman" w:hAnsi="Times New Roman"/>
          <w:b/>
          <w:strike/>
          <w:color w:val="C00000"/>
          <w:sz w:val="24"/>
          <w:szCs w:val="24"/>
        </w:rPr>
        <w:t>Accrued Special Drawing Right (</w:t>
      </w:r>
      <w:proofErr w:type="spellStart"/>
      <w:r w:rsidRPr="00462D96">
        <w:rPr>
          <w:rFonts w:ascii="Times New Roman" w:hAnsi="Times New Roman"/>
          <w:b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trike/>
          <w:color w:val="C00000"/>
          <w:sz w:val="24"/>
          <w:szCs w:val="24"/>
        </w:rPr>
        <w:t>)</w:t>
      </w:r>
      <w:r w:rsidRPr="00462D96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462D96">
        <w:rPr>
          <w:rFonts w:ascii="Times New Roman" w:hAnsi="Times New Roman"/>
          <w:b/>
          <w:sz w:val="24"/>
          <w:szCs w:val="24"/>
        </w:rPr>
        <w:t>Exchange Stabilization Fund (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ESF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>)</w:t>
      </w:r>
      <w:r w:rsidRPr="00483EE1">
        <w:rPr>
          <w:rFonts w:ascii="Times New Roman" w:hAnsi="Times New Roman"/>
          <w:sz w:val="24"/>
          <w:szCs w:val="24"/>
        </w:rPr>
        <w:t xml:space="preserve"> </w:t>
      </w:r>
      <w:r w:rsidRPr="00E22E61">
        <w:rPr>
          <w:rFonts w:ascii="Times New Roman" w:hAnsi="Times New Roman"/>
          <w:b/>
          <w:sz w:val="24"/>
          <w:szCs w:val="24"/>
        </w:rPr>
        <w:t>Accrued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3EE1">
        <w:rPr>
          <w:rFonts w:ascii="Times New Roman" w:hAnsi="Times New Roman"/>
          <w:sz w:val="24"/>
          <w:szCs w:val="24"/>
        </w:rPr>
        <w:t>Interest and Charges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Account Number:  </w:t>
      </w:r>
      <w:r w:rsidRPr="00483EE1">
        <w:rPr>
          <w:rFonts w:ascii="Times New Roman" w:hAnsi="Times New Roman"/>
          <w:sz w:val="24"/>
          <w:szCs w:val="24"/>
        </w:rPr>
        <w:t>729100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Normal Balance:  </w:t>
      </w:r>
      <w:r w:rsidRPr="00483EE1">
        <w:rPr>
          <w:rFonts w:ascii="Times New Roman" w:hAnsi="Times New Roman"/>
          <w:sz w:val="24"/>
          <w:szCs w:val="24"/>
        </w:rPr>
        <w:t>Debit</w:t>
      </w:r>
    </w:p>
    <w:p w:rsidR="00443C21" w:rsidRPr="00462D96" w:rsidRDefault="00443C21" w:rsidP="00443C21">
      <w:pPr>
        <w:spacing w:after="0"/>
        <w:rPr>
          <w:rFonts w:ascii="Times New Roman" w:hAnsi="Times New Roman"/>
          <w:strike/>
          <w:color w:val="C00000"/>
          <w:sz w:val="24"/>
          <w:szCs w:val="24"/>
        </w:rPr>
      </w:pPr>
      <w:r w:rsidRPr="00483EE1">
        <w:rPr>
          <w:rFonts w:ascii="Times New Roman" w:hAnsi="Times New Roman"/>
          <w:b/>
          <w:sz w:val="24"/>
          <w:szCs w:val="24"/>
        </w:rPr>
        <w:t xml:space="preserve">Definition:  </w:t>
      </w:r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When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interest rates change, accrued interest/charges result in a loss in the following circumstances: if interest rates decrease, then a loss is recorded in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interest; if interest rates increase, then a loss is recorded in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charges. This </w:t>
      </w:r>
      <w:proofErr w:type="spellStart"/>
      <w:r w:rsidRPr="00462D96">
        <w:rPr>
          <w:rFonts w:ascii="Times New Roman" w:hAnsi="Times New Roman"/>
          <w:strike/>
          <w:color w:val="C00000"/>
          <w:sz w:val="24"/>
          <w:szCs w:val="24"/>
        </w:rPr>
        <w:t>USSGL</w:t>
      </w:r>
      <w:proofErr w:type="spellEnd"/>
      <w:r w:rsidRPr="00462D96">
        <w:rPr>
          <w:rFonts w:ascii="Times New Roman" w:hAnsi="Times New Roman"/>
          <w:strike/>
          <w:color w:val="C00000"/>
          <w:sz w:val="24"/>
          <w:szCs w:val="24"/>
        </w:rPr>
        <w:t xml:space="preserve"> account is to be used only by the Department of the Treasury.</w:t>
      </w:r>
    </w:p>
    <w:p w:rsidR="00443C21" w:rsidRPr="00462D96" w:rsidRDefault="00443C21" w:rsidP="00443C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C21" w:rsidRPr="00462D96" w:rsidRDefault="00443C21" w:rsidP="00443C21">
      <w:pPr>
        <w:spacing w:after="0"/>
        <w:rPr>
          <w:rFonts w:ascii="Times New Roman" w:hAnsi="Times New Roman"/>
          <w:b/>
          <w:sz w:val="24"/>
          <w:szCs w:val="24"/>
        </w:rPr>
      </w:pPr>
      <w:r w:rsidRPr="00483EE1">
        <w:rPr>
          <w:rFonts w:ascii="Times New Roman" w:hAnsi="Times New Roman"/>
          <w:sz w:val="24"/>
          <w:szCs w:val="24"/>
        </w:rPr>
        <w:t>W</w:t>
      </w:r>
      <w:r w:rsidRPr="00462D96">
        <w:rPr>
          <w:rFonts w:ascii="Times New Roman" w:hAnsi="Times New Roman"/>
          <w:b/>
          <w:sz w:val="24"/>
          <w:szCs w:val="24"/>
        </w:rPr>
        <w:t>hen the Special Drawing Right (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) and foreign exchange rates change, accrued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interest/charges and accrued interest on foreign securities reflect a loss in the following circumstances: if the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-USD, Euro-USD, or Yen-USD exchange rate decreases, a loss is recorded on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accrued interest and accrued interest on foreign securities as applicable; if the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-USD exchange rate increases, a loss is recorded in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accrued charges. This </w:t>
      </w:r>
      <w:proofErr w:type="spellStart"/>
      <w:r w:rsidRPr="00462D96">
        <w:rPr>
          <w:rFonts w:ascii="Times New Roman" w:hAnsi="Times New Roman"/>
          <w:b/>
          <w:sz w:val="24"/>
          <w:szCs w:val="24"/>
        </w:rPr>
        <w:t>USSGL</w:t>
      </w:r>
      <w:proofErr w:type="spellEnd"/>
      <w:r w:rsidRPr="00462D96">
        <w:rPr>
          <w:rFonts w:ascii="Times New Roman" w:hAnsi="Times New Roman"/>
          <w:b/>
          <w:sz w:val="24"/>
          <w:szCs w:val="24"/>
        </w:rPr>
        <w:t xml:space="preserve"> account is to be used only by the Department of Treasury.</w:t>
      </w:r>
    </w:p>
    <w:p w:rsidR="00443C21" w:rsidRPr="00483EE1" w:rsidRDefault="00443C21" w:rsidP="00443C21">
      <w:pPr>
        <w:spacing w:after="0"/>
        <w:rPr>
          <w:rFonts w:ascii="Times New Roman" w:hAnsi="Times New Roman"/>
          <w:sz w:val="24"/>
          <w:szCs w:val="24"/>
        </w:rPr>
      </w:pPr>
    </w:p>
    <w:p w:rsidR="00443C21" w:rsidRPr="00462D96" w:rsidRDefault="00443C21" w:rsidP="00443C21">
      <w:pPr>
        <w:spacing w:after="0"/>
        <w:rPr>
          <w:rFonts w:ascii="Times New Roman" w:hAnsi="Times New Roman"/>
          <w:i/>
          <w:sz w:val="24"/>
          <w:szCs w:val="24"/>
        </w:rPr>
      </w:pPr>
      <w:r w:rsidRPr="00462D96">
        <w:rPr>
          <w:rFonts w:ascii="Times New Roman" w:hAnsi="Times New Roman"/>
          <w:b/>
          <w:i/>
          <w:sz w:val="24"/>
          <w:szCs w:val="24"/>
        </w:rPr>
        <w:t xml:space="preserve">Justification:  </w:t>
      </w:r>
      <w:r w:rsidRPr="00462D96">
        <w:rPr>
          <w:rFonts w:ascii="Times New Roman" w:hAnsi="Times New Roman"/>
          <w:i/>
          <w:sz w:val="24"/>
          <w:szCs w:val="24"/>
        </w:rPr>
        <w:t>To expand on the definition.</w:t>
      </w:r>
    </w:p>
    <w:p w:rsidR="00443C21" w:rsidRDefault="00443C21" w:rsidP="00443C21"/>
    <w:p w:rsidR="00443C21" w:rsidRDefault="00443C21" w:rsidP="00443C21">
      <w:r>
        <w:br w:type="page"/>
      </w:r>
    </w:p>
    <w:p w:rsidR="00EA6851" w:rsidRPr="009718B3" w:rsidRDefault="00EA6851" w:rsidP="00443C21">
      <w:pPr>
        <w:pStyle w:val="Default"/>
        <w:rPr>
          <w:b/>
          <w:bCs/>
        </w:rPr>
      </w:pPr>
      <w:r w:rsidRPr="009718B3">
        <w:rPr>
          <w:b/>
          <w:bCs/>
          <w:u w:val="single"/>
        </w:rPr>
        <w:lastRenderedPageBreak/>
        <w:t>There are changes to 16 Transaction Codes</w:t>
      </w:r>
    </w:p>
    <w:p w:rsidR="00443C21" w:rsidRPr="00882ED6" w:rsidRDefault="00443C21" w:rsidP="00443C21">
      <w:pPr>
        <w:pStyle w:val="Default"/>
      </w:pPr>
      <w:proofErr w:type="gramStart"/>
      <w:r w:rsidRPr="00882ED6">
        <w:rPr>
          <w:b/>
          <w:bCs/>
        </w:rPr>
        <w:t xml:space="preserve">B210 </w:t>
      </w:r>
      <w:r w:rsidRPr="00882ED6">
        <w:t>To record the payment of remuneration.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Due to the unique budgetary reporting by the Exchange Stabilization Fund, no outlay is reported.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</w:pPr>
      <w:r w:rsidRPr="00882ED6">
        <w:t xml:space="preserve">Debit 463500 Funds Not Available - Adjustments to the Exchange Stabilization Fund </w:t>
      </w:r>
    </w:p>
    <w:p w:rsidR="00443C21" w:rsidRPr="00882ED6" w:rsidRDefault="00443C21" w:rsidP="00443C21">
      <w:pPr>
        <w:pStyle w:val="Default"/>
      </w:pPr>
      <w:r w:rsidRPr="00882ED6">
        <w:t xml:space="preserve">Debit 490100 Delivered Orders - Obligations, Unpaid </w:t>
      </w:r>
    </w:p>
    <w:p w:rsidR="00443C21" w:rsidRPr="00882ED6" w:rsidRDefault="00443C21" w:rsidP="00443C21">
      <w:pPr>
        <w:pStyle w:val="Default"/>
        <w:ind w:firstLine="720"/>
        <w:rPr>
          <w:strike/>
          <w:color w:val="FF0000"/>
        </w:rPr>
      </w:pPr>
      <w:r w:rsidRPr="00882ED6">
        <w:rPr>
          <w:strike/>
          <w:color w:val="FF0000"/>
        </w:rPr>
        <w:t xml:space="preserve">Credit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  <w:ind w:left="720"/>
        <w:rPr>
          <w:b/>
          <w:color w:val="auto"/>
        </w:rPr>
      </w:pPr>
      <w:r w:rsidRPr="00882ED6">
        <w:rPr>
          <w:b/>
          <w:color w:val="auto"/>
        </w:rPr>
        <w:t>Credit 426800 Interest Collected From Foreign Securities and Special Drawer Rights</w:t>
      </w:r>
    </w:p>
    <w:p w:rsidR="00443C21" w:rsidRPr="00882ED6" w:rsidRDefault="00443C21" w:rsidP="00443C21">
      <w:pPr>
        <w:pStyle w:val="Default"/>
      </w:pPr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Proprietary Entry </w:t>
      </w:r>
    </w:p>
    <w:p w:rsidR="00443C21" w:rsidRPr="00882ED6" w:rsidRDefault="00443C21" w:rsidP="00443C21">
      <w:pPr>
        <w:pStyle w:val="Default"/>
      </w:pPr>
      <w:r w:rsidRPr="00882ED6">
        <w:t xml:space="preserve">Debit 211000 Accounts Payable </w:t>
      </w:r>
    </w:p>
    <w:p w:rsidR="00443C21" w:rsidRPr="00882ED6" w:rsidRDefault="00443C21" w:rsidP="00443C21">
      <w:pPr>
        <w:pStyle w:val="Default"/>
      </w:pPr>
      <w:r w:rsidRPr="00882ED6">
        <w:t xml:space="preserve">Debit 633800 Remuneration Interest </w:t>
      </w:r>
    </w:p>
    <w:p w:rsidR="00443C21" w:rsidRDefault="00443C21" w:rsidP="00443C21">
      <w:pPr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161000 Investments in U.S. Treasury Securities Issued by the Bureau of the Fiscal Service</w:t>
      </w:r>
    </w:p>
    <w:p w:rsidR="00443C21" w:rsidRDefault="00443C21" w:rsidP="00443C21">
      <w:pPr>
        <w:rPr>
          <w:rFonts w:ascii="Times New Roman" w:hAnsi="Times New Roman"/>
          <w:sz w:val="24"/>
          <w:szCs w:val="24"/>
        </w:rPr>
      </w:pPr>
    </w:p>
    <w:p w:rsidR="00443C21" w:rsidRPr="00882ED6" w:rsidRDefault="00443C21" w:rsidP="00443C21">
      <w:pPr>
        <w:pStyle w:val="Default"/>
      </w:pPr>
      <w:proofErr w:type="gramStart"/>
      <w:r w:rsidRPr="00882ED6">
        <w:rPr>
          <w:b/>
          <w:bCs/>
        </w:rPr>
        <w:t xml:space="preserve">B446 </w:t>
      </w:r>
      <w:r w:rsidRPr="00882ED6">
        <w:t>To record the IMF Annual Assessment.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</w:pPr>
      <w:r w:rsidRPr="00882ED6">
        <w:t xml:space="preserve">Debit 490100 Delivered Orders - Obligations, Unpaid </w:t>
      </w:r>
    </w:p>
    <w:p w:rsidR="00443C21" w:rsidRPr="00882ED6" w:rsidRDefault="00443C21" w:rsidP="00443C21">
      <w:pPr>
        <w:pStyle w:val="Default"/>
        <w:ind w:firstLine="720"/>
        <w:rPr>
          <w:strike/>
          <w:color w:val="FF0000"/>
        </w:rPr>
      </w:pPr>
      <w:r w:rsidRPr="00882ED6">
        <w:rPr>
          <w:strike/>
          <w:color w:val="FF0000"/>
        </w:rPr>
        <w:t xml:space="preserve">Credit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  <w:ind w:left="720"/>
        <w:rPr>
          <w:b/>
          <w:color w:val="auto"/>
        </w:rPr>
      </w:pPr>
      <w:r w:rsidRPr="00882ED6">
        <w:rPr>
          <w:b/>
          <w:color w:val="auto"/>
        </w:rPr>
        <w:t>Credit 426800 Interest Collected From Foreign Securities and Special Drawer Rights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Proprietary Entry </w:t>
      </w:r>
    </w:p>
    <w:p w:rsidR="00443C21" w:rsidRPr="00882ED6" w:rsidRDefault="00443C21" w:rsidP="00443C21">
      <w:pPr>
        <w:pStyle w:val="Default"/>
      </w:pPr>
      <w:r w:rsidRPr="00882ED6">
        <w:t xml:space="preserve">Debit 211000 Accounts Payable </w:t>
      </w:r>
    </w:p>
    <w:p w:rsidR="00443C21" w:rsidRDefault="00443C21" w:rsidP="00443C21">
      <w:pPr>
        <w:pStyle w:val="Default"/>
        <w:rPr>
          <w:strike/>
        </w:rPr>
      </w:pPr>
      <w:r w:rsidRPr="0074188D">
        <w:rPr>
          <w:strike/>
          <w:color w:val="FF0000"/>
        </w:rPr>
        <w:t>Debit 679000 Other Expenses Not Requiring Budgetary Resources</w:t>
      </w:r>
      <w:r w:rsidRPr="0074188D">
        <w:rPr>
          <w:strike/>
        </w:rPr>
        <w:t xml:space="preserve"> </w:t>
      </w:r>
    </w:p>
    <w:p w:rsidR="00443C21" w:rsidRPr="00882ED6" w:rsidRDefault="00443C21" w:rsidP="00443C21">
      <w:pPr>
        <w:pStyle w:val="Default"/>
        <w:ind w:firstLine="720"/>
      </w:pPr>
      <w:r w:rsidRPr="00882ED6">
        <w:t xml:space="preserve">Credit 119400 Exchange Stabilization Fund Assets - Holdings of Special Drawing Rights </w:t>
      </w:r>
    </w:p>
    <w:p w:rsidR="00443C21" w:rsidRDefault="00443C21" w:rsidP="00443C21">
      <w:pPr>
        <w:ind w:firstLine="720"/>
        <w:rPr>
          <w:rFonts w:ascii="Times New Roman" w:hAnsi="Times New Roman"/>
          <w:strike/>
          <w:color w:val="FF0000"/>
          <w:sz w:val="24"/>
          <w:szCs w:val="24"/>
        </w:rPr>
      </w:pPr>
      <w:r w:rsidRPr="00036ED1">
        <w:rPr>
          <w:rFonts w:ascii="Times New Roman" w:hAnsi="Times New Roman"/>
          <w:strike/>
          <w:color w:val="FF0000"/>
          <w:sz w:val="24"/>
          <w:szCs w:val="24"/>
        </w:rPr>
        <w:t>Credit 610000 Operating Expenses/Program Costs</w:t>
      </w:r>
    </w:p>
    <w:p w:rsidR="00443C21" w:rsidRDefault="00443C21" w:rsidP="00443C21">
      <w:pPr>
        <w:rPr>
          <w:rFonts w:ascii="Times New Roman" w:hAnsi="Times New Roman"/>
          <w:sz w:val="24"/>
          <w:szCs w:val="24"/>
        </w:rPr>
      </w:pPr>
    </w:p>
    <w:p w:rsidR="00443C21" w:rsidRDefault="00443C21">
      <w:pPr>
        <w:spacing w:after="0"/>
      </w:pPr>
      <w:r>
        <w:br w:type="page"/>
      </w:r>
    </w:p>
    <w:p w:rsidR="00443C21" w:rsidRPr="00882ED6" w:rsidRDefault="00443C21" w:rsidP="00443C21">
      <w:pPr>
        <w:pStyle w:val="Default"/>
      </w:pPr>
      <w:proofErr w:type="gramStart"/>
      <w:r w:rsidRPr="00882ED6">
        <w:rPr>
          <w:b/>
          <w:bCs/>
        </w:rPr>
        <w:lastRenderedPageBreak/>
        <w:t xml:space="preserve">C113 </w:t>
      </w:r>
      <w:r w:rsidRPr="00882ED6">
        <w:t>To record receipt of coupon payment and interest collection on non-federal securities.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443C21" w:rsidRPr="00882ED6" w:rsidRDefault="00443C21" w:rsidP="00443C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Proprietary Entry </w:t>
      </w:r>
    </w:p>
    <w:p w:rsidR="00443C21" w:rsidRPr="00882ED6" w:rsidRDefault="00443C21" w:rsidP="00443C21">
      <w:pPr>
        <w:pStyle w:val="Default"/>
      </w:pPr>
      <w:r w:rsidRPr="00882ED6">
        <w:t xml:space="preserve">Debit 120900 </w:t>
      </w:r>
      <w:proofErr w:type="spellStart"/>
      <w:r w:rsidRPr="00882ED6">
        <w:t>Uninvested</w:t>
      </w:r>
      <w:proofErr w:type="spellEnd"/>
      <w:r w:rsidRPr="00882ED6">
        <w:t xml:space="preserve"> Foreign </w:t>
      </w:r>
      <w:proofErr w:type="gramStart"/>
      <w:r w:rsidRPr="00882ED6">
        <w:t>Currency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t xml:space="preserve">Debit 167000 Foreign Investments </w:t>
      </w:r>
    </w:p>
    <w:p w:rsidR="00443C21" w:rsidRDefault="00443C21" w:rsidP="00443C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134200 Interest Receivable – Investments</w:t>
      </w:r>
    </w:p>
    <w:p w:rsidR="00443C21" w:rsidRDefault="00443C21" w:rsidP="00443C21">
      <w:pPr>
        <w:ind w:firstLine="720"/>
        <w:rPr>
          <w:rFonts w:ascii="Times New Roman" w:hAnsi="Times New Roman"/>
          <w:sz w:val="24"/>
          <w:szCs w:val="24"/>
        </w:rPr>
      </w:pP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C115 </w:t>
      </w:r>
      <w:r w:rsidRPr="00882ED6">
        <w:t xml:space="preserve">To record interest payments received from </w:t>
      </w:r>
      <w:proofErr w:type="spellStart"/>
      <w:r w:rsidRPr="00882ED6">
        <w:t>ESF</w:t>
      </w:r>
      <w:proofErr w:type="spellEnd"/>
      <w:r w:rsidRPr="00882ED6">
        <w:t xml:space="preserve"> foreign currency investments for Time Deposits, Overnight Deposits, and Reverse Repurchase Agreements.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the Treasury use only.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443C21" w:rsidRPr="00882ED6" w:rsidRDefault="00443C21" w:rsidP="00443C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Proprietary Entry </w:t>
      </w:r>
    </w:p>
    <w:p w:rsidR="00443C21" w:rsidRPr="00882ED6" w:rsidRDefault="00443C21" w:rsidP="00443C21">
      <w:pPr>
        <w:pStyle w:val="Default"/>
      </w:pPr>
      <w:r w:rsidRPr="00882ED6">
        <w:t xml:space="preserve">Debit 120500 Foreign Currency Denominated Equivalent Assets </w:t>
      </w:r>
    </w:p>
    <w:p w:rsidR="00443C21" w:rsidRPr="00882ED6" w:rsidRDefault="00443C21" w:rsidP="00443C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138400 Interest Receivable - Foreign Currency Denominated Assets</w:t>
      </w:r>
    </w:p>
    <w:p w:rsidR="00443C21" w:rsidRDefault="00443C21" w:rsidP="00443C21"/>
    <w:p w:rsidR="00443C21" w:rsidRDefault="00443C21" w:rsidP="00443C21"/>
    <w:p w:rsidR="00443C21" w:rsidRPr="00882ED6" w:rsidRDefault="00443C21" w:rsidP="00443C21">
      <w:pPr>
        <w:pStyle w:val="Default"/>
      </w:pPr>
      <w:proofErr w:type="gramStart"/>
      <w:r w:rsidRPr="00882ED6">
        <w:rPr>
          <w:b/>
          <w:bCs/>
        </w:rPr>
        <w:t xml:space="preserve">C119 </w:t>
      </w:r>
      <w:r w:rsidRPr="00882ED6">
        <w:t>To record the receipt of remuneration.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443C21" w:rsidRPr="00882ED6" w:rsidRDefault="00443C21" w:rsidP="00443C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Proprietary Entry </w:t>
      </w:r>
    </w:p>
    <w:p w:rsidR="00443C21" w:rsidRPr="00882ED6" w:rsidRDefault="00443C21" w:rsidP="00443C21">
      <w:pPr>
        <w:pStyle w:val="Default"/>
      </w:pPr>
      <w:r w:rsidRPr="00882ED6">
        <w:t xml:space="preserve">Debit 119400 Exchange Stabilization Fund Assets - Holdings of Special Drawing Rights </w:t>
      </w:r>
    </w:p>
    <w:p w:rsidR="00443C21" w:rsidRPr="00882ED6" w:rsidRDefault="00443C21" w:rsidP="00443C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579000 Other Financing Sources</w:t>
      </w:r>
    </w:p>
    <w:p w:rsidR="00443C21" w:rsidRDefault="00443C21">
      <w:pPr>
        <w:spacing w:after="0"/>
      </w:pPr>
      <w:r>
        <w:br w:type="page"/>
      </w:r>
    </w:p>
    <w:p w:rsidR="00443C21" w:rsidRPr="00882ED6" w:rsidRDefault="00443C21" w:rsidP="00443C21">
      <w:pPr>
        <w:pStyle w:val="Default"/>
      </w:pPr>
      <w:proofErr w:type="gramStart"/>
      <w:r w:rsidRPr="00882ED6">
        <w:rPr>
          <w:b/>
          <w:bCs/>
        </w:rPr>
        <w:lastRenderedPageBreak/>
        <w:t xml:space="preserve">C126 </w:t>
      </w:r>
      <w:r w:rsidRPr="00882ED6">
        <w:t>To record maturity and reversing interest accrual for Exchange Stabilization Fund investments.</w:t>
      </w:r>
      <w:proofErr w:type="gramEnd"/>
      <w:r w:rsidRPr="00882ED6">
        <w:t xml:space="preserve">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443C21" w:rsidRPr="00882ED6" w:rsidRDefault="00443C21" w:rsidP="00443C21">
      <w:pPr>
        <w:pStyle w:val="Default"/>
      </w:pPr>
      <w:r w:rsidRPr="00882ED6">
        <w:rPr>
          <w:b/>
          <w:bCs/>
        </w:rPr>
        <w:t xml:space="preserve">Budgetary Entry </w:t>
      </w:r>
    </w:p>
    <w:p w:rsidR="00443C21" w:rsidRPr="00882ED6" w:rsidRDefault="00443C21" w:rsidP="00443C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443C21" w:rsidRPr="00882ED6" w:rsidRDefault="00443C21" w:rsidP="00443C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443C21" w:rsidRDefault="00443C21" w:rsidP="00443C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120900 </w:t>
      </w:r>
      <w:proofErr w:type="spellStart"/>
      <w:r w:rsidRPr="00882ED6">
        <w:t>Uninvested</w:t>
      </w:r>
      <w:proofErr w:type="spellEnd"/>
      <w:r w:rsidRPr="00882ED6">
        <w:t xml:space="preserve"> Foreign </w:t>
      </w:r>
      <w:proofErr w:type="gramStart"/>
      <w:r w:rsidRPr="00882ED6">
        <w:t>Currency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120500 Foreign Currency Denominated Equivalent Assets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134200 Interest Receivable - Investments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138400 Interest Receivable - Foreign Currency Denominated Assets </w:t>
      </w:r>
    </w:p>
    <w:p w:rsidR="00111121" w:rsidRPr="00882ED6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167000 Foreign Investments</w:t>
      </w:r>
    </w:p>
    <w:p w:rsidR="00443C21" w:rsidRDefault="00443C21" w:rsidP="00111121">
      <w:pPr>
        <w:pStyle w:val="Default"/>
      </w:pP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C127 </w:t>
      </w:r>
      <w:r w:rsidRPr="00882ED6">
        <w:t xml:space="preserve">To record the maturity of non-federal Exchange Stabilization Fund securities (long-term bonds) sold at PAR and receive a coupon payment.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  <w:rPr>
          <w:b/>
          <w:color w:val="auto"/>
        </w:rPr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120900 </w:t>
      </w:r>
      <w:proofErr w:type="spellStart"/>
      <w:r w:rsidRPr="00882ED6">
        <w:t>Uninvested</w:t>
      </w:r>
      <w:proofErr w:type="spellEnd"/>
      <w:r w:rsidRPr="00882ED6">
        <w:t xml:space="preserve"> Foreign </w:t>
      </w:r>
      <w:proofErr w:type="gramStart"/>
      <w:r w:rsidRPr="00882ED6">
        <w:t>Currency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134200 Interest Receivable - Investments </w:t>
      </w:r>
    </w:p>
    <w:p w:rsidR="00111121" w:rsidRPr="00882ED6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167000 Foreign Investments</w:t>
      </w:r>
    </w:p>
    <w:p w:rsidR="00111121" w:rsidRDefault="00111121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>
        <w:br w:type="page"/>
      </w:r>
    </w:p>
    <w:p w:rsidR="00111121" w:rsidRPr="00882ED6" w:rsidRDefault="00111121" w:rsidP="00111121">
      <w:pPr>
        <w:pStyle w:val="Default"/>
      </w:pPr>
      <w:proofErr w:type="gramStart"/>
      <w:r w:rsidRPr="00882ED6">
        <w:rPr>
          <w:b/>
          <w:bCs/>
        </w:rPr>
        <w:lastRenderedPageBreak/>
        <w:t xml:space="preserve">C157 </w:t>
      </w:r>
      <w:r w:rsidRPr="00882ED6">
        <w:t>To record the capitalization of interest on Exchange Stabilization Fund foreign currency investments.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120500 Foreign Currency Denominated Equivalent Assets 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138400 Interest Receivable - Foreign Currency Denominated Assets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</w:p>
    <w:p w:rsidR="00111121" w:rsidRPr="00882ED6" w:rsidRDefault="00111121" w:rsidP="00111121">
      <w:pPr>
        <w:rPr>
          <w:rFonts w:ascii="Times New Roman" w:hAnsi="Times New Roman"/>
          <w:sz w:val="24"/>
          <w:szCs w:val="24"/>
        </w:rPr>
      </w:pPr>
    </w:p>
    <w:p w:rsidR="00111121" w:rsidRPr="00882ED6" w:rsidRDefault="00111121" w:rsidP="00111121">
      <w:pPr>
        <w:pStyle w:val="Default"/>
      </w:pPr>
      <w:proofErr w:type="gramStart"/>
      <w:r w:rsidRPr="00882ED6">
        <w:rPr>
          <w:b/>
          <w:bCs/>
        </w:rPr>
        <w:t xml:space="preserve">C419 </w:t>
      </w:r>
      <w:r w:rsidRPr="00882ED6">
        <w:t>To record accrual of interest receivable on non-federal securities with a bond premium.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</w:pPr>
      <w:r w:rsidRPr="00882ED6">
        <w:t xml:space="preserve">Debit 463500 Funds Not Available - Adjustments to the Exchange Stabilization Fund </w:t>
      </w:r>
    </w:p>
    <w:p w:rsidR="00111121" w:rsidRPr="00882ED6" w:rsidRDefault="00111121" w:rsidP="00111121">
      <w:pPr>
        <w:pStyle w:val="Default"/>
        <w:ind w:firstLine="720"/>
        <w:rPr>
          <w:strike/>
          <w:color w:val="FF0000"/>
        </w:rPr>
      </w:pPr>
      <w:r w:rsidRPr="00882ED6">
        <w:rPr>
          <w:strike/>
          <w:color w:val="FF0000"/>
        </w:rPr>
        <w:t xml:space="preserve">Credit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  <w:ind w:left="720"/>
        <w:rPr>
          <w:b/>
          <w:color w:val="auto"/>
        </w:rPr>
      </w:pPr>
      <w:r w:rsidRPr="00882ED6">
        <w:rPr>
          <w:b/>
          <w:color w:val="auto"/>
        </w:rPr>
        <w:t>Credit 426800 Interest Collected From Foreign Securities and Special Drawer Rights</w:t>
      </w:r>
    </w:p>
    <w:p w:rsidR="00111121" w:rsidRPr="00882ED6" w:rsidRDefault="00111121" w:rsidP="00111121">
      <w:pPr>
        <w:pStyle w:val="Default"/>
        <w:rPr>
          <w:strike/>
        </w:rPr>
      </w:pP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134200 Interest Receivable - Investments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167200 Premium on Foreign Investments </w:t>
      </w:r>
    </w:p>
    <w:p w:rsidR="00111121" w:rsidRPr="00882ED6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 xml:space="preserve">Credit </w:t>
      </w:r>
      <w:proofErr w:type="gramStart"/>
      <w:r w:rsidRPr="00882ED6">
        <w:rPr>
          <w:rFonts w:ascii="Times New Roman" w:hAnsi="Times New Roman"/>
          <w:sz w:val="24"/>
          <w:szCs w:val="24"/>
        </w:rPr>
        <w:t>531100 Interest Revenue –</w:t>
      </w:r>
      <w:proofErr w:type="gramEnd"/>
      <w:r w:rsidRPr="00882ED6">
        <w:rPr>
          <w:rFonts w:ascii="Times New Roman" w:hAnsi="Times New Roman"/>
          <w:sz w:val="24"/>
          <w:szCs w:val="24"/>
        </w:rPr>
        <w:t xml:space="preserve"> Investments</w:t>
      </w:r>
    </w:p>
    <w:p w:rsidR="00111121" w:rsidRDefault="00111121">
      <w:pPr>
        <w:spacing w:after="0"/>
      </w:pPr>
      <w:r>
        <w:br w:type="page"/>
      </w:r>
    </w:p>
    <w:p w:rsidR="00443C21" w:rsidRDefault="00443C21" w:rsidP="00443C21"/>
    <w:p w:rsidR="00111121" w:rsidRPr="00882ED6" w:rsidRDefault="00111121" w:rsidP="00111121">
      <w:pPr>
        <w:pStyle w:val="Default"/>
      </w:pPr>
      <w:proofErr w:type="gramStart"/>
      <w:r w:rsidRPr="00882ED6">
        <w:rPr>
          <w:b/>
          <w:bCs/>
        </w:rPr>
        <w:t xml:space="preserve">C423 </w:t>
      </w:r>
      <w:r w:rsidRPr="00882ED6">
        <w:t>To record accrual of interest receivable on non-federal securities with a bond discount.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134200 Interest Receivable - Investments </w:t>
      </w:r>
    </w:p>
    <w:p w:rsidR="00111121" w:rsidRPr="00882ED6" w:rsidRDefault="00111121" w:rsidP="00111121">
      <w:pPr>
        <w:pStyle w:val="Default"/>
      </w:pPr>
      <w:r w:rsidRPr="00882ED6">
        <w:t xml:space="preserve">Debit 167100 </w:t>
      </w:r>
      <w:proofErr w:type="gramStart"/>
      <w:r w:rsidRPr="00882ED6">
        <w:t>Discount</w:t>
      </w:r>
      <w:proofErr w:type="gramEnd"/>
      <w:r w:rsidRPr="00882ED6">
        <w:t xml:space="preserve"> on Foreign Investments 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 xml:space="preserve">Credit </w:t>
      </w:r>
      <w:proofErr w:type="gramStart"/>
      <w:r w:rsidRPr="00882ED6">
        <w:rPr>
          <w:rFonts w:ascii="Times New Roman" w:hAnsi="Times New Roman"/>
          <w:sz w:val="24"/>
          <w:szCs w:val="24"/>
        </w:rPr>
        <w:t>531100 Interest Revenue –</w:t>
      </w:r>
      <w:proofErr w:type="gramEnd"/>
      <w:r w:rsidRPr="00882ED6">
        <w:rPr>
          <w:rFonts w:ascii="Times New Roman" w:hAnsi="Times New Roman"/>
          <w:sz w:val="24"/>
          <w:szCs w:val="24"/>
        </w:rPr>
        <w:t xml:space="preserve"> Investments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</w:p>
    <w:p w:rsidR="00111121" w:rsidRPr="00882ED6" w:rsidRDefault="00111121" w:rsidP="00111121">
      <w:pPr>
        <w:rPr>
          <w:rFonts w:ascii="Times New Roman" w:hAnsi="Times New Roman"/>
          <w:sz w:val="24"/>
          <w:szCs w:val="24"/>
        </w:rPr>
      </w:pP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C600 </w:t>
      </w:r>
      <w:r w:rsidRPr="00882ED6">
        <w:t xml:space="preserve">To record the sale of non-federal securities (long-term bonds) by the Exchange Stabilization Fund at a premium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  <w:rPr>
          <w:b/>
          <w:color w:val="auto"/>
        </w:rPr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120900 </w:t>
      </w:r>
      <w:proofErr w:type="spellStart"/>
      <w:r w:rsidRPr="00882ED6">
        <w:t>Uninvested</w:t>
      </w:r>
      <w:proofErr w:type="spellEnd"/>
      <w:r w:rsidRPr="00882ED6">
        <w:t xml:space="preserve"> Foreign </w:t>
      </w:r>
      <w:proofErr w:type="gramStart"/>
      <w:r w:rsidRPr="00882ED6">
        <w:t>Currency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134200 Interest Receivable - Investments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167000 Foreign Investments </w:t>
      </w:r>
    </w:p>
    <w:p w:rsidR="00111121" w:rsidRPr="00882ED6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167200 Premium on Foreign Investments</w:t>
      </w:r>
    </w:p>
    <w:p w:rsidR="00111121" w:rsidRDefault="00111121">
      <w:pPr>
        <w:spacing w:after="0"/>
      </w:pPr>
      <w:r>
        <w:br w:type="page"/>
      </w:r>
    </w:p>
    <w:p w:rsidR="00111121" w:rsidRPr="00882ED6" w:rsidRDefault="00111121" w:rsidP="00111121">
      <w:pPr>
        <w:pStyle w:val="Default"/>
      </w:pPr>
      <w:proofErr w:type="gramStart"/>
      <w:r w:rsidRPr="00882ED6">
        <w:rPr>
          <w:b/>
          <w:bCs/>
        </w:rPr>
        <w:lastRenderedPageBreak/>
        <w:t xml:space="preserve">C601 </w:t>
      </w:r>
      <w:r w:rsidRPr="00882ED6">
        <w:t>To record the sale of non-federal securities (long-term bonds) by the Exchange Stabilization Fund at a discount.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  <w:rPr>
          <w:b/>
          <w:color w:val="auto"/>
        </w:rPr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120900 </w:t>
      </w:r>
      <w:proofErr w:type="spellStart"/>
      <w:r w:rsidRPr="00882ED6">
        <w:t>Uninvested</w:t>
      </w:r>
      <w:proofErr w:type="spellEnd"/>
      <w:r w:rsidRPr="00882ED6">
        <w:t xml:space="preserve"> Foreign </w:t>
      </w:r>
      <w:proofErr w:type="gramStart"/>
      <w:r w:rsidRPr="00882ED6">
        <w:t>Currency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t xml:space="preserve">Debit 167100 </w:t>
      </w:r>
      <w:proofErr w:type="gramStart"/>
      <w:r w:rsidRPr="00882ED6">
        <w:t>Discount</w:t>
      </w:r>
      <w:proofErr w:type="gramEnd"/>
      <w:r w:rsidRPr="00882ED6">
        <w:t xml:space="preserve"> on Foreign Investments 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134200 Interest Receivable - Investments 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167000 Foreign Investments</w:t>
      </w:r>
    </w:p>
    <w:p w:rsidR="00111121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1FD1">
        <w:rPr>
          <w:rFonts w:ascii="Times New Roman" w:hAnsi="Times New Roman"/>
          <w:b/>
          <w:bCs/>
          <w:color w:val="000000"/>
          <w:sz w:val="24"/>
          <w:szCs w:val="24"/>
        </w:rPr>
        <w:t xml:space="preserve">D610 </w:t>
      </w:r>
      <w:r w:rsidRPr="00D01FD1">
        <w:rPr>
          <w:rFonts w:ascii="Times New Roman" w:hAnsi="Times New Roman"/>
          <w:color w:val="000000"/>
          <w:sz w:val="24"/>
          <w:szCs w:val="24"/>
        </w:rPr>
        <w:t>To record the realized gain from the revaluation to US dollars for Special Drawing Right allocations.</w:t>
      </w:r>
      <w:proofErr w:type="gramEnd"/>
      <w:r w:rsidRPr="00D01F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b/>
          <w:bCs/>
          <w:color w:val="000000"/>
          <w:sz w:val="24"/>
          <w:szCs w:val="24"/>
        </w:rPr>
        <w:t xml:space="preserve">Comment: </w:t>
      </w:r>
      <w:r w:rsidRPr="00D01FD1">
        <w:rPr>
          <w:rFonts w:ascii="Times New Roman" w:hAnsi="Times New Roman"/>
          <w:color w:val="000000"/>
          <w:sz w:val="24"/>
          <w:szCs w:val="24"/>
        </w:rPr>
        <w:t xml:space="preserve">For the Department of Treasury use only.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Reference: </w:t>
      </w:r>
      <w:r w:rsidRPr="00D01FD1">
        <w:rPr>
          <w:rFonts w:ascii="Times New Roman" w:hAnsi="Times New Roman"/>
          <w:color w:val="000000"/>
          <w:sz w:val="24"/>
          <w:szCs w:val="24"/>
        </w:rPr>
        <w:t xml:space="preserve">Other </w:t>
      </w:r>
      <w:proofErr w:type="spellStart"/>
      <w:r w:rsidRPr="00D01FD1">
        <w:rPr>
          <w:rFonts w:ascii="Times New Roman" w:hAnsi="Times New Roman"/>
          <w:color w:val="000000"/>
          <w:sz w:val="24"/>
          <w:szCs w:val="24"/>
        </w:rPr>
        <w:t>USSGL</w:t>
      </w:r>
      <w:proofErr w:type="spellEnd"/>
      <w:r w:rsidRPr="00D01FD1">
        <w:rPr>
          <w:rFonts w:ascii="Times New Roman" w:hAnsi="Times New Roman"/>
          <w:color w:val="000000"/>
          <w:sz w:val="24"/>
          <w:szCs w:val="24"/>
        </w:rPr>
        <w:t xml:space="preserve"> Guidance: Accounting and Reporting Exchange Stabilization Fund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b/>
          <w:bCs/>
          <w:color w:val="000000"/>
          <w:sz w:val="24"/>
          <w:szCs w:val="24"/>
        </w:rPr>
        <w:t xml:space="preserve">Budgetary Entry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strike/>
          <w:color w:val="000000"/>
          <w:sz w:val="24"/>
          <w:szCs w:val="24"/>
        </w:rPr>
      </w:pPr>
      <w:r w:rsidRPr="00D01FD1">
        <w:rPr>
          <w:rFonts w:ascii="Times New Roman" w:hAnsi="Times New Roman"/>
          <w:strike/>
          <w:color w:val="FF0000"/>
          <w:sz w:val="24"/>
          <w:szCs w:val="24"/>
        </w:rPr>
        <w:t>Debit 490100 Delivered Orders - Obligations, Unpaid</w:t>
      </w:r>
      <w:r w:rsidRPr="00D01FD1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01FD1">
        <w:rPr>
          <w:rFonts w:ascii="Times New Roman" w:hAnsi="Times New Roman"/>
          <w:b/>
          <w:sz w:val="24"/>
          <w:szCs w:val="24"/>
        </w:rPr>
        <w:t>Debit 497100 Downward Adjustments of Prior-Year Unpaid Delivered Orders - Obligations, Recoveries</w:t>
      </w:r>
    </w:p>
    <w:p w:rsidR="00111121" w:rsidRPr="00D01FD1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color w:val="000000"/>
          <w:sz w:val="24"/>
          <w:szCs w:val="24"/>
        </w:rPr>
        <w:t xml:space="preserve">Credit 463500 Funds Not Available - Adjustments to the Exchange Stabilization Fund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Proprietary Entry </w:t>
      </w:r>
    </w:p>
    <w:p w:rsidR="00111121" w:rsidRPr="00D01F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color w:val="000000"/>
          <w:sz w:val="24"/>
          <w:szCs w:val="24"/>
        </w:rPr>
        <w:t xml:space="preserve">Debit 219300 </w:t>
      </w:r>
      <w:proofErr w:type="gramStart"/>
      <w:r w:rsidRPr="00D01FD1">
        <w:rPr>
          <w:rFonts w:ascii="Times New Roman" w:hAnsi="Times New Roman"/>
          <w:color w:val="000000"/>
          <w:sz w:val="24"/>
          <w:szCs w:val="24"/>
        </w:rPr>
        <w:t>Allocation</w:t>
      </w:r>
      <w:proofErr w:type="gramEnd"/>
      <w:r w:rsidRPr="00D01FD1">
        <w:rPr>
          <w:rFonts w:ascii="Times New Roman" w:hAnsi="Times New Roman"/>
          <w:color w:val="000000"/>
          <w:sz w:val="24"/>
          <w:szCs w:val="24"/>
        </w:rPr>
        <w:t xml:space="preserve"> of Special Drawing Rights (</w:t>
      </w:r>
      <w:proofErr w:type="spellStart"/>
      <w:r w:rsidRPr="00D01FD1">
        <w:rPr>
          <w:rFonts w:ascii="Times New Roman" w:hAnsi="Times New Roman"/>
          <w:color w:val="000000"/>
          <w:sz w:val="24"/>
          <w:szCs w:val="24"/>
        </w:rPr>
        <w:t>SDRs</w:t>
      </w:r>
      <w:proofErr w:type="spellEnd"/>
      <w:r w:rsidRPr="00D01FD1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111121" w:rsidRDefault="00111121" w:rsidP="00111121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01FD1">
        <w:rPr>
          <w:rFonts w:ascii="Times New Roman" w:hAnsi="Times New Roman"/>
          <w:color w:val="000000"/>
          <w:sz w:val="24"/>
          <w:szCs w:val="24"/>
        </w:rPr>
        <w:t>Credit 719000 Other Gains</w:t>
      </w:r>
    </w:p>
    <w:p w:rsidR="00111121" w:rsidRDefault="0011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188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D612 </w:t>
      </w:r>
      <w:r w:rsidRPr="0074188D">
        <w:rPr>
          <w:rFonts w:ascii="Times New Roman" w:hAnsi="Times New Roman"/>
          <w:color w:val="000000"/>
          <w:sz w:val="24"/>
          <w:szCs w:val="24"/>
        </w:rPr>
        <w:t xml:space="preserve">To record </w:t>
      </w:r>
      <w:proofErr w:type="spellStart"/>
      <w:r w:rsidRPr="0074188D">
        <w:rPr>
          <w:rFonts w:ascii="Times New Roman" w:hAnsi="Times New Roman"/>
          <w:color w:val="000000"/>
          <w:sz w:val="24"/>
          <w:szCs w:val="24"/>
        </w:rPr>
        <w:t>SDR</w:t>
      </w:r>
      <w:proofErr w:type="spellEnd"/>
      <w:r w:rsidRPr="0074188D">
        <w:rPr>
          <w:rFonts w:ascii="Times New Roman" w:hAnsi="Times New Roman"/>
          <w:color w:val="000000"/>
          <w:sz w:val="24"/>
          <w:szCs w:val="24"/>
        </w:rPr>
        <w:t xml:space="preserve"> interest and charges accrual with a net effect of an unrealized gain.</w:t>
      </w:r>
      <w:proofErr w:type="gramEnd"/>
      <w:r w:rsidRPr="007418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Comment: </w:t>
      </w:r>
      <w:r w:rsidRPr="0074188D">
        <w:rPr>
          <w:rFonts w:ascii="Times New Roman" w:hAnsi="Times New Roman"/>
          <w:color w:val="000000"/>
          <w:sz w:val="24"/>
          <w:szCs w:val="24"/>
        </w:rPr>
        <w:t xml:space="preserve">For the Department of Treasury use only.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Reference: </w:t>
      </w:r>
      <w:r w:rsidRPr="0074188D">
        <w:rPr>
          <w:rFonts w:ascii="Times New Roman" w:hAnsi="Times New Roman"/>
          <w:color w:val="000000"/>
          <w:sz w:val="24"/>
          <w:szCs w:val="24"/>
        </w:rPr>
        <w:t xml:space="preserve">Other </w:t>
      </w:r>
      <w:proofErr w:type="spellStart"/>
      <w:r w:rsidRPr="0074188D">
        <w:rPr>
          <w:rFonts w:ascii="Times New Roman" w:hAnsi="Times New Roman"/>
          <w:color w:val="000000"/>
          <w:sz w:val="24"/>
          <w:szCs w:val="24"/>
        </w:rPr>
        <w:t>USSGL</w:t>
      </w:r>
      <w:proofErr w:type="spellEnd"/>
      <w:r w:rsidRPr="0074188D">
        <w:rPr>
          <w:rFonts w:ascii="Times New Roman" w:hAnsi="Times New Roman"/>
          <w:color w:val="000000"/>
          <w:sz w:val="24"/>
          <w:szCs w:val="24"/>
        </w:rPr>
        <w:t xml:space="preserve"> Guidance: Accounting and Reporting Exchange Stabilization Fund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Budgetary Entry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 xml:space="preserve">Debit 463500 Funds Not Available - Adjustments to the Exchange Stabilization Fund </w:t>
      </w:r>
    </w:p>
    <w:p w:rsidR="00111121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strike/>
          <w:color w:val="FF0000"/>
          <w:sz w:val="24"/>
          <w:szCs w:val="24"/>
        </w:rPr>
      </w:pPr>
      <w:r w:rsidRPr="0074188D">
        <w:rPr>
          <w:rFonts w:ascii="Times New Roman" w:hAnsi="Times New Roman"/>
          <w:strike/>
          <w:color w:val="FF0000"/>
          <w:sz w:val="24"/>
          <w:szCs w:val="24"/>
        </w:rPr>
        <w:t xml:space="preserve">Credit 490100 Delivered Orders - Obligations, Unpaid </w:t>
      </w:r>
    </w:p>
    <w:p w:rsidR="00111121" w:rsidRPr="0074188D" w:rsidRDefault="00111121" w:rsidP="00111121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036ED1">
        <w:rPr>
          <w:rFonts w:ascii="Times New Roman" w:hAnsi="Times New Roman"/>
          <w:b/>
          <w:sz w:val="24"/>
          <w:szCs w:val="24"/>
        </w:rPr>
        <w:t>Credit 498100 Upward Adjustments of Prior-Year Delivered Orders - Obligations, Unpaid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Proprietary Entry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 xml:space="preserve">Debit 134400 Interest Receivable on Special Drawing Rights </w:t>
      </w:r>
    </w:p>
    <w:p w:rsidR="0011112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 xml:space="preserve">Debit 633000 Other Interest Expenses </w:t>
      </w:r>
    </w:p>
    <w:p w:rsidR="00111121" w:rsidRPr="0074188D" w:rsidRDefault="00111121" w:rsidP="0011112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color w:val="000000"/>
          <w:sz w:val="24"/>
          <w:szCs w:val="24"/>
        </w:rPr>
        <w:t xml:space="preserve">Debit 729100 </w:t>
      </w:r>
      <w:r w:rsidRPr="00036ED1">
        <w:rPr>
          <w:rFonts w:ascii="Times New Roman" w:hAnsi="Times New Roman"/>
          <w:b/>
          <w:sz w:val="24"/>
          <w:szCs w:val="24"/>
        </w:rPr>
        <w:t>Other Losses for Accrued Special Drawing Right (</w:t>
      </w:r>
      <w:proofErr w:type="spellStart"/>
      <w:r w:rsidRPr="00036ED1">
        <w:rPr>
          <w:rFonts w:ascii="Times New Roman" w:hAnsi="Times New Roman"/>
          <w:b/>
          <w:sz w:val="24"/>
          <w:szCs w:val="24"/>
        </w:rPr>
        <w:t>SDR</w:t>
      </w:r>
      <w:proofErr w:type="spellEnd"/>
      <w:r w:rsidRPr="00036ED1">
        <w:rPr>
          <w:rFonts w:ascii="Times New Roman" w:hAnsi="Times New Roman"/>
          <w:b/>
          <w:sz w:val="24"/>
          <w:szCs w:val="24"/>
        </w:rPr>
        <w:t>) Interest and Charges</w:t>
      </w:r>
    </w:p>
    <w:p w:rsidR="00111121" w:rsidRPr="0074188D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 xml:space="preserve">Credit 214000 Accrued Interest Payable - Not Otherwise Classified </w:t>
      </w:r>
    </w:p>
    <w:p w:rsidR="00111121" w:rsidRPr="0074188D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 xml:space="preserve">Credit </w:t>
      </w:r>
      <w:proofErr w:type="gramStart"/>
      <w:r w:rsidRPr="0074188D">
        <w:rPr>
          <w:rFonts w:ascii="Times New Roman" w:hAnsi="Times New Roman"/>
          <w:color w:val="000000"/>
          <w:sz w:val="24"/>
          <w:szCs w:val="24"/>
        </w:rPr>
        <w:t>531100 Interest Revenue -</w:t>
      </w:r>
      <w:proofErr w:type="gramEnd"/>
      <w:r w:rsidRPr="0074188D">
        <w:rPr>
          <w:rFonts w:ascii="Times New Roman" w:hAnsi="Times New Roman"/>
          <w:color w:val="000000"/>
          <w:sz w:val="24"/>
          <w:szCs w:val="24"/>
        </w:rPr>
        <w:t xml:space="preserve"> Investments </w:t>
      </w:r>
    </w:p>
    <w:p w:rsidR="00111121" w:rsidRPr="0074188D" w:rsidRDefault="00111121" w:rsidP="00111121">
      <w:pPr>
        <w:ind w:left="720"/>
        <w:rPr>
          <w:rFonts w:ascii="Times New Roman" w:hAnsi="Times New Roman"/>
          <w:sz w:val="24"/>
          <w:szCs w:val="24"/>
        </w:rPr>
      </w:pPr>
      <w:r w:rsidRPr="0074188D">
        <w:rPr>
          <w:rFonts w:ascii="Times New Roman" w:hAnsi="Times New Roman"/>
          <w:color w:val="000000"/>
          <w:sz w:val="24"/>
          <w:szCs w:val="24"/>
        </w:rPr>
        <w:t>Credit 719100 Other Gains for Accrued Special Drawing Right (</w:t>
      </w:r>
      <w:proofErr w:type="spellStart"/>
      <w:r w:rsidRPr="0074188D">
        <w:rPr>
          <w:rFonts w:ascii="Times New Roman" w:hAnsi="Times New Roman"/>
          <w:color w:val="000000"/>
          <w:sz w:val="24"/>
          <w:szCs w:val="24"/>
        </w:rPr>
        <w:t>SDR</w:t>
      </w:r>
      <w:proofErr w:type="spellEnd"/>
      <w:r w:rsidRPr="0074188D">
        <w:rPr>
          <w:rFonts w:ascii="Times New Roman" w:hAnsi="Times New Roman"/>
          <w:color w:val="000000"/>
          <w:sz w:val="24"/>
          <w:szCs w:val="24"/>
        </w:rPr>
        <w:t>) Interest and Charges</w:t>
      </w:r>
    </w:p>
    <w:p w:rsidR="00111121" w:rsidRDefault="00111121" w:rsidP="00111121">
      <w:pPr>
        <w:rPr>
          <w:rFonts w:ascii="Times New Roman" w:hAnsi="Times New Roman"/>
          <w:sz w:val="24"/>
          <w:szCs w:val="24"/>
        </w:rPr>
      </w:pPr>
    </w:p>
    <w:p w:rsidR="00111121" w:rsidRPr="00882ED6" w:rsidRDefault="00111121" w:rsidP="00111121">
      <w:pPr>
        <w:rPr>
          <w:rFonts w:ascii="Times New Roman" w:hAnsi="Times New Roman"/>
          <w:sz w:val="24"/>
          <w:szCs w:val="24"/>
        </w:rPr>
      </w:pP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6ED1">
        <w:rPr>
          <w:rFonts w:ascii="Times New Roman" w:hAnsi="Times New Roman"/>
          <w:b/>
          <w:bCs/>
          <w:color w:val="000000"/>
          <w:sz w:val="24"/>
          <w:szCs w:val="24"/>
        </w:rPr>
        <w:t xml:space="preserve">D614 </w:t>
      </w:r>
      <w:r w:rsidRPr="00036ED1">
        <w:rPr>
          <w:rFonts w:ascii="Times New Roman" w:hAnsi="Times New Roman"/>
          <w:color w:val="000000"/>
          <w:sz w:val="24"/>
          <w:szCs w:val="24"/>
        </w:rPr>
        <w:t xml:space="preserve">To record </w:t>
      </w:r>
      <w:proofErr w:type="spellStart"/>
      <w:r w:rsidRPr="00036ED1">
        <w:rPr>
          <w:rFonts w:ascii="Times New Roman" w:hAnsi="Times New Roman"/>
          <w:color w:val="000000"/>
          <w:sz w:val="24"/>
          <w:szCs w:val="24"/>
        </w:rPr>
        <w:t>SDR</w:t>
      </w:r>
      <w:proofErr w:type="spellEnd"/>
      <w:r w:rsidRPr="00036ED1">
        <w:rPr>
          <w:rFonts w:ascii="Times New Roman" w:hAnsi="Times New Roman"/>
          <w:color w:val="000000"/>
          <w:sz w:val="24"/>
          <w:szCs w:val="24"/>
        </w:rPr>
        <w:t xml:space="preserve"> interest and charges accrual with a net effect of an unrealized loss.</w:t>
      </w:r>
      <w:proofErr w:type="gramEnd"/>
      <w:r w:rsidRPr="00036E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bCs/>
          <w:color w:val="000000"/>
          <w:sz w:val="24"/>
          <w:szCs w:val="24"/>
        </w:rPr>
        <w:t xml:space="preserve">Comment: </w:t>
      </w:r>
      <w:r w:rsidRPr="00036ED1">
        <w:rPr>
          <w:rFonts w:ascii="Times New Roman" w:hAnsi="Times New Roman"/>
          <w:color w:val="000000"/>
          <w:sz w:val="24"/>
          <w:szCs w:val="24"/>
        </w:rPr>
        <w:t xml:space="preserve">For the Department of Treasury use only.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Reference: </w:t>
      </w:r>
      <w:r w:rsidRPr="00036ED1">
        <w:rPr>
          <w:rFonts w:ascii="Times New Roman" w:hAnsi="Times New Roman"/>
          <w:color w:val="000000"/>
          <w:sz w:val="24"/>
          <w:szCs w:val="24"/>
        </w:rPr>
        <w:t xml:space="preserve">Other </w:t>
      </w:r>
      <w:proofErr w:type="spellStart"/>
      <w:r w:rsidRPr="00036ED1">
        <w:rPr>
          <w:rFonts w:ascii="Times New Roman" w:hAnsi="Times New Roman"/>
          <w:color w:val="000000"/>
          <w:sz w:val="24"/>
          <w:szCs w:val="24"/>
        </w:rPr>
        <w:t>USSGL</w:t>
      </w:r>
      <w:proofErr w:type="spellEnd"/>
      <w:r w:rsidRPr="00036ED1">
        <w:rPr>
          <w:rFonts w:ascii="Times New Roman" w:hAnsi="Times New Roman"/>
          <w:color w:val="000000"/>
          <w:sz w:val="24"/>
          <w:szCs w:val="24"/>
        </w:rPr>
        <w:t xml:space="preserve"> Guidance: Accounting and Reporting Exchange Stabilization Fund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bCs/>
          <w:color w:val="000000"/>
          <w:sz w:val="24"/>
          <w:szCs w:val="24"/>
        </w:rPr>
        <w:t xml:space="preserve">Budgetary Entry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color w:val="000000"/>
          <w:sz w:val="24"/>
          <w:szCs w:val="24"/>
        </w:rPr>
        <w:t xml:space="preserve">Debit 463500 Funds Not Available - Adjustments to the Exchange Stabilization Fund </w:t>
      </w:r>
    </w:p>
    <w:p w:rsidR="00111121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strike/>
          <w:color w:val="FF0000"/>
          <w:sz w:val="24"/>
          <w:szCs w:val="24"/>
        </w:rPr>
      </w:pPr>
      <w:r w:rsidRPr="00036ED1">
        <w:rPr>
          <w:rFonts w:ascii="Times New Roman" w:hAnsi="Times New Roman"/>
          <w:strike/>
          <w:color w:val="FF0000"/>
          <w:sz w:val="24"/>
          <w:szCs w:val="24"/>
        </w:rPr>
        <w:t xml:space="preserve">Credit 490100 Delivered Orders - Obligations, Unpaid </w:t>
      </w:r>
    </w:p>
    <w:p w:rsidR="00111121" w:rsidRPr="0074188D" w:rsidRDefault="00111121" w:rsidP="00111121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036ED1">
        <w:rPr>
          <w:rFonts w:ascii="Times New Roman" w:hAnsi="Times New Roman"/>
          <w:b/>
          <w:sz w:val="24"/>
          <w:szCs w:val="24"/>
        </w:rPr>
        <w:t>Credit 498100 Upward Adjustments of Prior-Year Delivered Orders - Obligations, Unpaid</w:t>
      </w:r>
    </w:p>
    <w:p w:rsidR="00111121" w:rsidRPr="00036ED1" w:rsidRDefault="00111121" w:rsidP="00111121">
      <w:pPr>
        <w:autoSpaceDE w:val="0"/>
        <w:autoSpaceDN w:val="0"/>
        <w:adjustRightInd w:val="0"/>
        <w:ind w:firstLine="720"/>
        <w:rPr>
          <w:rFonts w:ascii="Times New Roman" w:hAnsi="Times New Roman"/>
          <w:strike/>
          <w:color w:val="FF0000"/>
          <w:sz w:val="24"/>
          <w:szCs w:val="24"/>
        </w:rPr>
      </w:pP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Proprietary Entry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color w:val="000000"/>
          <w:sz w:val="24"/>
          <w:szCs w:val="24"/>
        </w:rPr>
        <w:t xml:space="preserve">Debit 134400 Interest Receivable on Special Drawing Rights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color w:val="000000"/>
          <w:sz w:val="24"/>
          <w:szCs w:val="24"/>
        </w:rPr>
        <w:t xml:space="preserve">Debit 633000 Other Interest Expenses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color w:val="000000"/>
          <w:sz w:val="24"/>
          <w:szCs w:val="24"/>
        </w:rPr>
        <w:t>Debit 729100 Other Losses for Accrued Special Drawing Right (</w:t>
      </w:r>
      <w:proofErr w:type="spellStart"/>
      <w:r w:rsidRPr="00036ED1">
        <w:rPr>
          <w:rFonts w:ascii="Times New Roman" w:hAnsi="Times New Roman"/>
          <w:color w:val="000000"/>
          <w:sz w:val="24"/>
          <w:szCs w:val="24"/>
        </w:rPr>
        <w:t>SDR</w:t>
      </w:r>
      <w:proofErr w:type="spellEnd"/>
      <w:r w:rsidRPr="00036ED1">
        <w:rPr>
          <w:rFonts w:ascii="Times New Roman" w:hAnsi="Times New Roman"/>
          <w:color w:val="000000"/>
          <w:sz w:val="24"/>
          <w:szCs w:val="24"/>
        </w:rPr>
        <w:t xml:space="preserve">) Interest and Charges </w:t>
      </w:r>
    </w:p>
    <w:p w:rsidR="00111121" w:rsidRPr="00036ED1" w:rsidRDefault="00111121" w:rsidP="001111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36ED1">
        <w:rPr>
          <w:rFonts w:ascii="Times New Roman" w:hAnsi="Times New Roman"/>
          <w:color w:val="000000"/>
          <w:sz w:val="24"/>
          <w:szCs w:val="24"/>
        </w:rPr>
        <w:t xml:space="preserve">Credit 214000 Accrued Interest Payable - Not Otherwise Classified </w:t>
      </w:r>
    </w:p>
    <w:p w:rsidR="00111121" w:rsidRPr="00036ED1" w:rsidRDefault="00111121" w:rsidP="00111121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36ED1">
        <w:rPr>
          <w:rFonts w:ascii="Times New Roman" w:hAnsi="Times New Roman"/>
          <w:color w:val="000000"/>
          <w:sz w:val="24"/>
          <w:szCs w:val="24"/>
        </w:rPr>
        <w:t xml:space="preserve">Credit </w:t>
      </w:r>
      <w:proofErr w:type="gramStart"/>
      <w:r w:rsidRPr="00036ED1">
        <w:rPr>
          <w:rFonts w:ascii="Times New Roman" w:hAnsi="Times New Roman"/>
          <w:color w:val="000000"/>
          <w:sz w:val="24"/>
          <w:szCs w:val="24"/>
        </w:rPr>
        <w:t>531100 Interest Revenue –</w:t>
      </w:r>
      <w:proofErr w:type="gramEnd"/>
      <w:r w:rsidRPr="00036ED1">
        <w:rPr>
          <w:rFonts w:ascii="Times New Roman" w:hAnsi="Times New Roman"/>
          <w:color w:val="000000"/>
          <w:sz w:val="24"/>
          <w:szCs w:val="24"/>
        </w:rPr>
        <w:t xml:space="preserve"> Investments</w:t>
      </w:r>
    </w:p>
    <w:p w:rsidR="00111121" w:rsidRDefault="00111121" w:rsidP="00111121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036ED1">
        <w:rPr>
          <w:rFonts w:ascii="Times New Roman" w:hAnsi="Times New Roman"/>
          <w:b/>
          <w:color w:val="000000"/>
          <w:sz w:val="24"/>
          <w:szCs w:val="24"/>
        </w:rPr>
        <w:t>Credit 719100 Other Gains for Accrued Special Drawing Right (</w:t>
      </w:r>
      <w:proofErr w:type="spellStart"/>
      <w:r w:rsidRPr="00036ED1">
        <w:rPr>
          <w:rFonts w:ascii="Times New Roman" w:hAnsi="Times New Roman"/>
          <w:b/>
          <w:color w:val="000000"/>
          <w:sz w:val="24"/>
          <w:szCs w:val="24"/>
        </w:rPr>
        <w:t>SDR</w:t>
      </w:r>
      <w:proofErr w:type="spellEnd"/>
      <w:r w:rsidRPr="00036ED1">
        <w:rPr>
          <w:rFonts w:ascii="Times New Roman" w:hAnsi="Times New Roman"/>
          <w:b/>
          <w:color w:val="000000"/>
          <w:sz w:val="24"/>
          <w:szCs w:val="24"/>
        </w:rPr>
        <w:t>) Interest and Charges</w:t>
      </w:r>
    </w:p>
    <w:p w:rsidR="00111121" w:rsidRDefault="0011112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11121" w:rsidRPr="00882ED6" w:rsidRDefault="00111121" w:rsidP="00111121">
      <w:pPr>
        <w:pStyle w:val="Default"/>
      </w:pPr>
      <w:proofErr w:type="gramStart"/>
      <w:r w:rsidRPr="00882ED6">
        <w:rPr>
          <w:b/>
          <w:bCs/>
        </w:rPr>
        <w:lastRenderedPageBreak/>
        <w:t xml:space="preserve">D616 </w:t>
      </w:r>
      <w:r w:rsidRPr="00882ED6">
        <w:t xml:space="preserve">To record the </w:t>
      </w:r>
      <w:proofErr w:type="spellStart"/>
      <w:r w:rsidRPr="00882ED6">
        <w:t>tru</w:t>
      </w:r>
      <w:proofErr w:type="spellEnd"/>
      <w:r w:rsidRPr="00882ED6">
        <w:t xml:space="preserve"> up of Special Drawing right interest accrual and charges for the Quarter.</w:t>
      </w:r>
      <w:proofErr w:type="gramEnd"/>
      <w:r w:rsidRPr="00882ED6">
        <w:t xml:space="preserve">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Comment: </w:t>
      </w:r>
      <w:r w:rsidRPr="00882ED6">
        <w:t xml:space="preserve">For the Department of Treasury use only.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Reference: </w:t>
      </w:r>
      <w:r w:rsidRPr="00882ED6">
        <w:t xml:space="preserve">Other </w:t>
      </w:r>
      <w:proofErr w:type="spellStart"/>
      <w:r w:rsidRPr="00882ED6">
        <w:t>USSGL</w:t>
      </w:r>
      <w:proofErr w:type="spellEnd"/>
      <w:r w:rsidRPr="00882ED6">
        <w:t xml:space="preserve"> Guidance: Accounting and Reporting Exchange Stabilization Fund </w:t>
      </w: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Budgetary Entry </w:t>
      </w:r>
    </w:p>
    <w:p w:rsidR="00111121" w:rsidRPr="00882ED6" w:rsidRDefault="00111121" w:rsidP="00111121">
      <w:pPr>
        <w:pStyle w:val="Default"/>
        <w:rPr>
          <w:strike/>
          <w:color w:val="FF0000"/>
        </w:rPr>
      </w:pPr>
      <w:r w:rsidRPr="00882ED6">
        <w:rPr>
          <w:strike/>
          <w:color w:val="FF0000"/>
        </w:rPr>
        <w:t xml:space="preserve">Debit 426600 Other Actual Business-Type Collections </w:t>
      </w:r>
      <w:proofErr w:type="gramStart"/>
      <w:r w:rsidRPr="00882ED6">
        <w:rPr>
          <w:strike/>
          <w:color w:val="FF0000"/>
        </w:rPr>
        <w:t>From</w:t>
      </w:r>
      <w:proofErr w:type="gramEnd"/>
      <w:r w:rsidRPr="00882ED6">
        <w:rPr>
          <w:strike/>
          <w:color w:val="FF0000"/>
        </w:rPr>
        <w:t xml:space="preserve"> Non-Federal Sources </w:t>
      </w:r>
    </w:p>
    <w:p w:rsidR="00111121" w:rsidRPr="00882ED6" w:rsidRDefault="00111121" w:rsidP="00111121">
      <w:pPr>
        <w:pStyle w:val="Default"/>
      </w:pPr>
      <w:r w:rsidRPr="00882ED6">
        <w:rPr>
          <w:b/>
          <w:color w:val="auto"/>
        </w:rPr>
        <w:t>Debit 426800 Interest Collected From Foreign Securities and Special Drawer Rights</w:t>
      </w:r>
    </w:p>
    <w:p w:rsidR="00111121" w:rsidRDefault="00111121" w:rsidP="00111121">
      <w:pPr>
        <w:pStyle w:val="Default"/>
        <w:rPr>
          <w:strike/>
          <w:color w:val="FF0000"/>
        </w:rPr>
      </w:pPr>
      <w:r w:rsidRPr="00D01FD1">
        <w:rPr>
          <w:strike/>
          <w:color w:val="FF0000"/>
        </w:rPr>
        <w:t xml:space="preserve">Debit 490100 Delivered Orders - Obligations, Unpaid </w:t>
      </w:r>
    </w:p>
    <w:p w:rsidR="00111121" w:rsidRPr="00D01FD1" w:rsidRDefault="00111121" w:rsidP="00111121">
      <w:pPr>
        <w:pStyle w:val="Default"/>
        <w:rPr>
          <w:b/>
          <w:color w:val="auto"/>
        </w:rPr>
      </w:pPr>
      <w:r w:rsidRPr="00D01FD1">
        <w:rPr>
          <w:b/>
          <w:color w:val="auto"/>
        </w:rPr>
        <w:t xml:space="preserve">Debit 497100 </w:t>
      </w:r>
      <w:r w:rsidRPr="00D01FD1">
        <w:rPr>
          <w:b/>
        </w:rPr>
        <w:t>Downward Adjustments of Prior-Year Unpaid Delivered Orders - Obligations, Recoveries</w:t>
      </w:r>
    </w:p>
    <w:p w:rsidR="00111121" w:rsidRPr="00882ED6" w:rsidRDefault="00111121" w:rsidP="00111121">
      <w:pPr>
        <w:pStyle w:val="Default"/>
        <w:ind w:firstLine="720"/>
      </w:pPr>
      <w:r w:rsidRPr="00882ED6">
        <w:t xml:space="preserve">Credit 463500 Funds Not Available - Adjustments to the Exchange Stabilization Fund </w:t>
      </w:r>
    </w:p>
    <w:p w:rsidR="00111121" w:rsidRDefault="00111121" w:rsidP="00111121">
      <w:pPr>
        <w:pStyle w:val="Default"/>
        <w:rPr>
          <w:b/>
          <w:bCs/>
        </w:rPr>
      </w:pPr>
    </w:p>
    <w:p w:rsidR="00111121" w:rsidRPr="00882ED6" w:rsidRDefault="00111121" w:rsidP="00111121">
      <w:pPr>
        <w:pStyle w:val="Default"/>
      </w:pPr>
      <w:r w:rsidRPr="00882ED6">
        <w:rPr>
          <w:b/>
          <w:bCs/>
        </w:rPr>
        <w:t xml:space="preserve">Proprietary Entry </w:t>
      </w:r>
    </w:p>
    <w:p w:rsidR="00111121" w:rsidRPr="00882ED6" w:rsidRDefault="00111121" w:rsidP="00111121">
      <w:pPr>
        <w:pStyle w:val="Default"/>
      </w:pPr>
      <w:r w:rsidRPr="00882ED6">
        <w:t xml:space="preserve">Debit 119400 Exchange Stabilization Fund Assets - Holdings of Special Drawing Rights </w:t>
      </w:r>
    </w:p>
    <w:p w:rsidR="00111121" w:rsidRPr="00882ED6" w:rsidRDefault="00111121" w:rsidP="00111121">
      <w:pPr>
        <w:pStyle w:val="Default"/>
      </w:pPr>
      <w:r w:rsidRPr="00882ED6">
        <w:t xml:space="preserve">Debit 214000 Accrued Interest Payable - Not Otherwise Classified </w:t>
      </w:r>
    </w:p>
    <w:p w:rsidR="00111121" w:rsidRPr="00882ED6" w:rsidRDefault="00111121" w:rsidP="00111121">
      <w:pPr>
        <w:ind w:firstLine="720"/>
        <w:rPr>
          <w:rFonts w:ascii="Times New Roman" w:hAnsi="Times New Roman"/>
          <w:sz w:val="24"/>
          <w:szCs w:val="24"/>
        </w:rPr>
      </w:pPr>
      <w:r w:rsidRPr="00882ED6">
        <w:rPr>
          <w:rFonts w:ascii="Times New Roman" w:hAnsi="Times New Roman"/>
          <w:sz w:val="24"/>
          <w:szCs w:val="24"/>
        </w:rPr>
        <w:t>Credit 134400 Interest Receivable on Special Drawing Rights</w:t>
      </w:r>
    </w:p>
    <w:p w:rsidR="00111121" w:rsidRPr="00036ED1" w:rsidRDefault="00111121" w:rsidP="00111121">
      <w:pPr>
        <w:rPr>
          <w:rFonts w:ascii="Times New Roman" w:hAnsi="Times New Roman"/>
          <w:b/>
          <w:sz w:val="24"/>
          <w:szCs w:val="24"/>
        </w:rPr>
      </w:pPr>
    </w:p>
    <w:p w:rsidR="00111121" w:rsidRDefault="00111121" w:rsidP="00443C21"/>
    <w:p w:rsidR="00111121" w:rsidRPr="00443C21" w:rsidRDefault="00111121" w:rsidP="00443C21"/>
    <w:sectPr w:rsidR="00111121" w:rsidRPr="00443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37" w:rsidRDefault="00CE5437" w:rsidP="00111121">
      <w:pPr>
        <w:spacing w:after="0"/>
      </w:pPr>
      <w:r>
        <w:separator/>
      </w:r>
    </w:p>
  </w:endnote>
  <w:endnote w:type="continuationSeparator" w:id="0">
    <w:p w:rsidR="00CE5437" w:rsidRDefault="00CE5437" w:rsidP="00111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85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121" w:rsidRDefault="00111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121" w:rsidRDefault="00111121">
    <w:pPr>
      <w:pStyle w:val="Footer"/>
    </w:pPr>
    <w:r>
      <w:t xml:space="preserve">Bulletin No. 2016-07                                                                                                            IRC Handout 4/20/17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37" w:rsidRDefault="00CE5437" w:rsidP="00111121">
      <w:pPr>
        <w:spacing w:after="0"/>
      </w:pPr>
      <w:r>
        <w:separator/>
      </w:r>
    </w:p>
  </w:footnote>
  <w:footnote w:type="continuationSeparator" w:id="0">
    <w:p w:rsidR="00CE5437" w:rsidRDefault="00CE5437" w:rsidP="00111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968882"/>
      <w:docPartObj>
        <w:docPartGallery w:val="Watermarks"/>
        <w:docPartUnique/>
      </w:docPartObj>
    </w:sdtPr>
    <w:sdtEndPr/>
    <w:sdtContent>
      <w:p w:rsidR="00111121" w:rsidRDefault="00CE543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21"/>
    <w:rsid w:val="00111121"/>
    <w:rsid w:val="00443C21"/>
    <w:rsid w:val="00541B6A"/>
    <w:rsid w:val="006D456A"/>
    <w:rsid w:val="009718B3"/>
    <w:rsid w:val="00A14693"/>
    <w:rsid w:val="00A834FC"/>
    <w:rsid w:val="00BE2F7D"/>
    <w:rsid w:val="00CE5437"/>
    <w:rsid w:val="00D25A85"/>
    <w:rsid w:val="00E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21"/>
    <w:pPr>
      <w:spacing w:after="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C21"/>
    <w:pPr>
      <w:autoSpaceDE w:val="0"/>
      <w:autoSpaceDN w:val="0"/>
      <w:adjustRightInd w:val="0"/>
      <w:spacing w:after="8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21"/>
    <w:pPr>
      <w:spacing w:after="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C21"/>
    <w:pPr>
      <w:autoSpaceDE w:val="0"/>
      <w:autoSpaceDN w:val="0"/>
      <w:adjustRightInd w:val="0"/>
      <w:spacing w:after="8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508D-1944-4C4A-BCFF-0041E4E3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Jeff Taberner</cp:lastModifiedBy>
  <cp:revision>6</cp:revision>
  <dcterms:created xsi:type="dcterms:W3CDTF">2017-04-04T19:13:00Z</dcterms:created>
  <dcterms:modified xsi:type="dcterms:W3CDTF">2017-04-05T18:25:00Z</dcterms:modified>
</cp:coreProperties>
</file>