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F55DD" w14:textId="36B4241A" w:rsidR="00CC2765" w:rsidRDefault="00CC2765" w:rsidP="00CC276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83F68C1" w14:textId="77777777" w:rsidR="003F3598" w:rsidRDefault="00CC2765" w:rsidP="001F1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32"/>
          <w:szCs w:val="32"/>
        </w:rPr>
      </w:pPr>
      <w:r w:rsidRPr="004D73DF">
        <w:rPr>
          <w:rStyle w:val="normaltextrun"/>
          <w:b/>
          <w:bCs/>
          <w:sz w:val="32"/>
          <w:szCs w:val="32"/>
        </w:rPr>
        <w:t xml:space="preserve">Attention! Attention! </w:t>
      </w:r>
    </w:p>
    <w:p w14:paraId="57BDF838" w14:textId="484B350F" w:rsidR="00CC2765" w:rsidRPr="004D73DF" w:rsidRDefault="00C82C34" w:rsidP="004D73D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32"/>
          <w:szCs w:val="32"/>
        </w:rPr>
      </w:pPr>
      <w:r w:rsidRPr="004D73DF">
        <w:rPr>
          <w:rStyle w:val="normaltextrun"/>
          <w:b/>
          <w:bCs/>
          <w:sz w:val="32"/>
          <w:szCs w:val="32"/>
        </w:rPr>
        <w:t>Governmentwide Treasury Account Symbol Adjusted Trial Balance System (</w:t>
      </w:r>
      <w:r w:rsidR="00CC2765" w:rsidRPr="004D73DF">
        <w:rPr>
          <w:rStyle w:val="normaltextrun"/>
          <w:b/>
          <w:bCs/>
          <w:sz w:val="32"/>
          <w:szCs w:val="32"/>
        </w:rPr>
        <w:t>GTAS</w:t>
      </w:r>
      <w:r w:rsidRPr="004D73DF">
        <w:rPr>
          <w:rStyle w:val="normaltextrun"/>
          <w:b/>
          <w:bCs/>
          <w:sz w:val="32"/>
          <w:szCs w:val="32"/>
        </w:rPr>
        <w:t>)</w:t>
      </w:r>
      <w:r w:rsidR="00CC2765" w:rsidRPr="004D73DF">
        <w:rPr>
          <w:rStyle w:val="normaltextrun"/>
          <w:b/>
          <w:bCs/>
          <w:sz w:val="32"/>
          <w:szCs w:val="32"/>
        </w:rPr>
        <w:t xml:space="preserve"> Edits 125-132 Going Fatal!!</w:t>
      </w:r>
    </w:p>
    <w:p w14:paraId="2DE85CC7" w14:textId="77777777" w:rsidR="00CC2765" w:rsidRDefault="00CC2765" w:rsidP="00CC27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63C0F5E" w14:textId="77777777" w:rsidR="00CC2765" w:rsidRDefault="00CC2765" w:rsidP="00CC27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DA24278" w14:textId="3B37538B" w:rsidR="00CC2765" w:rsidRPr="00CC2765" w:rsidRDefault="00CC2765" w:rsidP="004D73D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4"/>
          <w:szCs w:val="24"/>
        </w:rPr>
      </w:pPr>
      <w:r w:rsidRPr="00CC2765">
        <w:rPr>
          <w:rStyle w:val="normaltextrun"/>
          <w:b/>
          <w:bCs/>
          <w:sz w:val="24"/>
          <w:szCs w:val="24"/>
        </w:rPr>
        <w:t xml:space="preserve">GTAS Edits 125-132 will go fatal </w:t>
      </w:r>
      <w:r w:rsidR="001F1CD8">
        <w:rPr>
          <w:rStyle w:val="normaltextrun"/>
          <w:b/>
          <w:bCs/>
          <w:sz w:val="24"/>
          <w:szCs w:val="24"/>
        </w:rPr>
        <w:t>in</w:t>
      </w:r>
      <w:r w:rsidRPr="00CC2765">
        <w:rPr>
          <w:rStyle w:val="normaltextrun"/>
          <w:b/>
          <w:bCs/>
          <w:sz w:val="24"/>
          <w:szCs w:val="24"/>
        </w:rPr>
        <w:t xml:space="preserve"> </w:t>
      </w:r>
      <w:r w:rsidR="001F1CD8">
        <w:rPr>
          <w:rStyle w:val="normaltextrun"/>
          <w:b/>
          <w:bCs/>
          <w:sz w:val="24"/>
          <w:szCs w:val="24"/>
        </w:rPr>
        <w:t>fiscal year (</w:t>
      </w:r>
      <w:r w:rsidRPr="00CC2765">
        <w:rPr>
          <w:rStyle w:val="normaltextrun"/>
          <w:b/>
          <w:bCs/>
          <w:sz w:val="24"/>
          <w:szCs w:val="24"/>
        </w:rPr>
        <w:t>FY</w:t>
      </w:r>
      <w:r w:rsidR="001F1CD8">
        <w:rPr>
          <w:rStyle w:val="normaltextrun"/>
          <w:b/>
          <w:bCs/>
          <w:sz w:val="24"/>
          <w:szCs w:val="24"/>
        </w:rPr>
        <w:t xml:space="preserve">) </w:t>
      </w:r>
      <w:r w:rsidRPr="00CC2765">
        <w:rPr>
          <w:rStyle w:val="normaltextrun"/>
          <w:b/>
          <w:bCs/>
          <w:sz w:val="24"/>
          <w:szCs w:val="24"/>
        </w:rPr>
        <w:t>2</w:t>
      </w:r>
      <w:r w:rsidR="00C10D09">
        <w:rPr>
          <w:rStyle w:val="normaltextrun"/>
          <w:b/>
          <w:bCs/>
          <w:sz w:val="24"/>
          <w:szCs w:val="24"/>
        </w:rPr>
        <w:t>02</w:t>
      </w:r>
      <w:r w:rsidRPr="00CC2765">
        <w:rPr>
          <w:rStyle w:val="normaltextrun"/>
          <w:b/>
          <w:bCs/>
          <w:sz w:val="24"/>
          <w:szCs w:val="24"/>
        </w:rPr>
        <w:t xml:space="preserve">5 </w:t>
      </w:r>
      <w:r w:rsidR="001F1CD8">
        <w:rPr>
          <w:rStyle w:val="normaltextrun"/>
          <w:b/>
          <w:bCs/>
          <w:sz w:val="24"/>
          <w:szCs w:val="24"/>
        </w:rPr>
        <w:t xml:space="preserve">for the </w:t>
      </w:r>
      <w:r w:rsidRPr="00CC2765">
        <w:rPr>
          <w:rStyle w:val="normaltextrun"/>
          <w:b/>
          <w:bCs/>
          <w:sz w:val="24"/>
          <w:szCs w:val="24"/>
        </w:rPr>
        <w:t>November GTAS Reporting Window.</w:t>
      </w:r>
    </w:p>
    <w:p w14:paraId="16C0DEFB" w14:textId="77777777" w:rsidR="00CC2765" w:rsidRDefault="00CC2765" w:rsidP="00CC276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1FD3A9D" w14:textId="39CC117B" w:rsidR="00CC2765" w:rsidRPr="004D73DF" w:rsidRDefault="000632DB" w:rsidP="00CC276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  <w:r w:rsidRPr="004D73DF">
        <w:rPr>
          <w:rStyle w:val="normaltextrun"/>
          <w:b/>
          <w:bCs/>
          <w:u w:val="single"/>
        </w:rPr>
        <w:t>Who is impacted?</w:t>
      </w:r>
    </w:p>
    <w:p w14:paraId="0D8B18D5" w14:textId="1EEC5643" w:rsidR="000632DB" w:rsidRDefault="00CC2765" w:rsidP="008D51C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>
        <w:rPr>
          <w:rStyle w:val="normaltextrun"/>
        </w:rPr>
        <w:t xml:space="preserve">There are currently only 20 </w:t>
      </w:r>
      <w:r w:rsidR="001F1CD8">
        <w:rPr>
          <w:rStyle w:val="normaltextrun"/>
        </w:rPr>
        <w:t xml:space="preserve">federal entities </w:t>
      </w:r>
      <w:r>
        <w:rPr>
          <w:rStyle w:val="normaltextrun"/>
        </w:rPr>
        <w:t xml:space="preserve">that have Credit Reform appropriations where </w:t>
      </w:r>
      <w:r w:rsidR="003F3598">
        <w:rPr>
          <w:rStyle w:val="normaltextrun"/>
        </w:rPr>
        <w:t xml:space="preserve">GTAS </w:t>
      </w:r>
      <w:r>
        <w:rPr>
          <w:rStyle w:val="normaltextrun"/>
        </w:rPr>
        <w:t xml:space="preserve">Edits 125-132 would </w:t>
      </w:r>
      <w:r w:rsidR="001F1CD8">
        <w:rPr>
          <w:rStyle w:val="normaltextrun"/>
        </w:rPr>
        <w:t>apply</w:t>
      </w:r>
      <w:r>
        <w:rPr>
          <w:rStyle w:val="normaltextrun"/>
        </w:rPr>
        <w:t xml:space="preserve">. </w:t>
      </w:r>
    </w:p>
    <w:p w14:paraId="7ABAE7E0" w14:textId="6F5E692B" w:rsidR="000632DB" w:rsidRDefault="000632DB" w:rsidP="00CC276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0D7A59D" w14:textId="1AA5567E" w:rsidR="003F3598" w:rsidRDefault="001F1CD8" w:rsidP="00CC276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  <w:r>
        <w:rPr>
          <w:rStyle w:val="normaltextrun"/>
          <w:b/>
          <w:bCs/>
          <w:u w:val="single"/>
        </w:rPr>
        <w:t>How do I know if my entity has a Credit Reform appropriation?</w:t>
      </w:r>
    </w:p>
    <w:p w14:paraId="2855E798" w14:textId="267838BE" w:rsidR="006358B7" w:rsidRPr="004D73DF" w:rsidRDefault="006358B7" w:rsidP="005F14C0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 w:rsidRPr="004D73DF">
        <w:rPr>
          <w:rStyle w:val="normaltextrun"/>
        </w:rPr>
        <w:t xml:space="preserve">Federal Entities can </w:t>
      </w:r>
      <w:r w:rsidR="0044586B">
        <w:rPr>
          <w:rStyle w:val="normaltextrun"/>
        </w:rPr>
        <w:t xml:space="preserve">inquire with </w:t>
      </w:r>
      <w:r w:rsidR="0062598F">
        <w:rPr>
          <w:rStyle w:val="normaltextrun"/>
        </w:rPr>
        <w:t>Office of Management and Budget’s (</w:t>
      </w:r>
      <w:r w:rsidR="0044586B">
        <w:rPr>
          <w:rStyle w:val="normaltextrun"/>
        </w:rPr>
        <w:t>OMB</w:t>
      </w:r>
      <w:r w:rsidR="0062598F">
        <w:rPr>
          <w:rStyle w:val="normaltextrun"/>
        </w:rPr>
        <w:t>)</w:t>
      </w:r>
      <w:r w:rsidR="0044586B">
        <w:rPr>
          <w:rStyle w:val="normaltextrun"/>
        </w:rPr>
        <w:t xml:space="preserve"> Credit Crew by emailing </w:t>
      </w:r>
      <w:hyperlink r:id="rId5" w:history="1">
        <w:r w:rsidR="0044586B" w:rsidRPr="003A760E">
          <w:rPr>
            <w:rStyle w:val="Hyperlink"/>
          </w:rPr>
          <w:t>creditcrew@omg.eop.gov</w:t>
        </w:r>
      </w:hyperlink>
      <w:r w:rsidR="0044586B">
        <w:rPr>
          <w:rStyle w:val="normaltextrun"/>
        </w:rPr>
        <w:t xml:space="preserve">. Before doing so, federal entities can check the Federal Credit Supplement at </w:t>
      </w:r>
      <w:hyperlink r:id="rId6" w:history="1">
        <w:r w:rsidR="0062598F">
          <w:rPr>
            <w:rStyle w:val="Hyperlink"/>
          </w:rPr>
          <w:t>https://www.whitehouse.gov</w:t>
        </w:r>
      </w:hyperlink>
      <w:r w:rsidR="0044586B">
        <w:rPr>
          <w:rStyle w:val="normaltextrun"/>
        </w:rPr>
        <w:t>. Tables 1 and 2 display programs expected to make new loans in FY 2024 and FY2025, and Tables 7 and 8 show programs that have ever made loans in previous fiscal years.</w:t>
      </w:r>
    </w:p>
    <w:p w14:paraId="2629D152" w14:textId="77777777" w:rsidR="001F1CD8" w:rsidRDefault="001F1CD8" w:rsidP="00CC276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14:paraId="085DA396" w14:textId="484FF855" w:rsidR="00C82C34" w:rsidRPr="00DA336B" w:rsidRDefault="000632DB" w:rsidP="00DA336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  <w:r w:rsidRPr="004D73DF">
        <w:rPr>
          <w:rStyle w:val="normaltextrun"/>
          <w:b/>
          <w:bCs/>
          <w:u w:val="single"/>
        </w:rPr>
        <w:t xml:space="preserve">How do you fail an </w:t>
      </w:r>
      <w:r w:rsidR="009E37FA" w:rsidRPr="004D73DF">
        <w:rPr>
          <w:rStyle w:val="normaltextrun"/>
          <w:b/>
          <w:bCs/>
          <w:u w:val="single"/>
        </w:rPr>
        <w:t>e</w:t>
      </w:r>
      <w:r w:rsidRPr="004D73DF">
        <w:rPr>
          <w:rStyle w:val="normaltextrun"/>
          <w:b/>
          <w:bCs/>
          <w:u w:val="single"/>
        </w:rPr>
        <w:t>dit?</w:t>
      </w:r>
    </w:p>
    <w:p w14:paraId="75EBBA8F" w14:textId="52AFEFD0" w:rsidR="00FD1C99" w:rsidRDefault="001F1CD8" w:rsidP="008D51C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>
        <w:rPr>
          <w:rStyle w:val="normaltextrun"/>
        </w:rPr>
        <w:t>W</w:t>
      </w:r>
      <w:r w:rsidR="00FD1C99">
        <w:rPr>
          <w:rStyle w:val="normaltextrun"/>
        </w:rPr>
        <w:t xml:space="preserve">hen a </w:t>
      </w:r>
      <w:r w:rsidR="00F8059B">
        <w:rPr>
          <w:rStyle w:val="normaltextrun"/>
        </w:rPr>
        <w:t>federal entity</w:t>
      </w:r>
      <w:r w:rsidR="00FD1C99">
        <w:rPr>
          <w:rStyle w:val="normaltextrun"/>
        </w:rPr>
        <w:t xml:space="preserve"> only reports the U</w:t>
      </w:r>
      <w:r w:rsidR="003F3598">
        <w:rPr>
          <w:rStyle w:val="normaltextrun"/>
        </w:rPr>
        <w:t xml:space="preserve">nited </w:t>
      </w:r>
      <w:r w:rsidR="00FD1C99">
        <w:rPr>
          <w:rStyle w:val="normaltextrun"/>
        </w:rPr>
        <w:t>S</w:t>
      </w:r>
      <w:r w:rsidR="003F3598">
        <w:rPr>
          <w:rStyle w:val="normaltextrun"/>
        </w:rPr>
        <w:t xml:space="preserve">tates </w:t>
      </w:r>
      <w:r w:rsidR="00FD1C99">
        <w:rPr>
          <w:rStyle w:val="normaltextrun"/>
        </w:rPr>
        <w:t>S</w:t>
      </w:r>
      <w:r w:rsidR="003F3598">
        <w:rPr>
          <w:rStyle w:val="normaltextrun"/>
        </w:rPr>
        <w:t xml:space="preserve">tandard </w:t>
      </w:r>
      <w:r w:rsidR="00FD1C99">
        <w:rPr>
          <w:rStyle w:val="normaltextrun"/>
        </w:rPr>
        <w:t>G</w:t>
      </w:r>
      <w:r w:rsidR="003F3598">
        <w:rPr>
          <w:rStyle w:val="normaltextrun"/>
        </w:rPr>
        <w:t xml:space="preserve">eneral </w:t>
      </w:r>
      <w:r w:rsidR="00FD1C99">
        <w:rPr>
          <w:rStyle w:val="normaltextrun"/>
        </w:rPr>
        <w:t>L</w:t>
      </w:r>
      <w:r w:rsidR="003F3598">
        <w:rPr>
          <w:rStyle w:val="normaltextrun"/>
        </w:rPr>
        <w:t>edger (USSGL)</w:t>
      </w:r>
      <w:r w:rsidR="00FD1C99">
        <w:rPr>
          <w:rStyle w:val="normaltextrun"/>
        </w:rPr>
        <w:t xml:space="preserve"> and the </w:t>
      </w:r>
      <w:r w:rsidR="003F3598">
        <w:rPr>
          <w:rStyle w:val="normaltextrun"/>
        </w:rPr>
        <w:t xml:space="preserve">corresponding </w:t>
      </w:r>
      <w:r w:rsidR="00FD1C99">
        <w:rPr>
          <w:rStyle w:val="normaltextrun"/>
        </w:rPr>
        <w:t>B</w:t>
      </w:r>
      <w:r w:rsidR="003F3598">
        <w:rPr>
          <w:rStyle w:val="normaltextrun"/>
        </w:rPr>
        <w:t xml:space="preserve">usiness </w:t>
      </w:r>
      <w:r w:rsidR="00FD1C99">
        <w:rPr>
          <w:rStyle w:val="normaltextrun"/>
        </w:rPr>
        <w:t>E</w:t>
      </w:r>
      <w:r w:rsidR="003F3598">
        <w:rPr>
          <w:rStyle w:val="normaltextrun"/>
        </w:rPr>
        <w:t xml:space="preserve">vent </w:t>
      </w:r>
      <w:r w:rsidR="00FD1C99">
        <w:rPr>
          <w:rStyle w:val="normaltextrun"/>
        </w:rPr>
        <w:t>T</w:t>
      </w:r>
      <w:r w:rsidR="003F3598">
        <w:rPr>
          <w:rStyle w:val="normaltextrun"/>
        </w:rPr>
        <w:t xml:space="preserve">ype </w:t>
      </w:r>
      <w:r w:rsidR="00FD1C99">
        <w:rPr>
          <w:rStyle w:val="normaltextrun"/>
        </w:rPr>
        <w:t>C</w:t>
      </w:r>
      <w:r w:rsidR="003F3598">
        <w:rPr>
          <w:rStyle w:val="normaltextrun"/>
        </w:rPr>
        <w:t>ode (BETC)</w:t>
      </w:r>
      <w:r w:rsidR="00394205">
        <w:rPr>
          <w:rStyle w:val="normaltextrun"/>
        </w:rPr>
        <w:t xml:space="preserve"> is not used in </w:t>
      </w:r>
      <w:r w:rsidR="004E6490">
        <w:rPr>
          <w:rStyle w:val="normaltextrun"/>
        </w:rPr>
        <w:t xml:space="preserve">the </w:t>
      </w:r>
      <w:r w:rsidR="00394205">
        <w:rPr>
          <w:rStyle w:val="normaltextrun"/>
        </w:rPr>
        <w:t>C</w:t>
      </w:r>
      <w:r w:rsidR="004E6490">
        <w:rPr>
          <w:rStyle w:val="normaltextrun"/>
        </w:rPr>
        <w:t xml:space="preserve">entral </w:t>
      </w:r>
      <w:r w:rsidR="00394205">
        <w:rPr>
          <w:rStyle w:val="normaltextrun"/>
        </w:rPr>
        <w:t>A</w:t>
      </w:r>
      <w:r w:rsidR="004E6490">
        <w:rPr>
          <w:rStyle w:val="normaltextrun"/>
        </w:rPr>
        <w:t xml:space="preserve">ccounting </w:t>
      </w:r>
      <w:r w:rsidR="00394205">
        <w:rPr>
          <w:rStyle w:val="normaltextrun"/>
        </w:rPr>
        <w:t>R</w:t>
      </w:r>
      <w:r w:rsidR="004E6490">
        <w:rPr>
          <w:rStyle w:val="normaltextrun"/>
        </w:rPr>
        <w:t xml:space="preserve">eporting </w:t>
      </w:r>
      <w:r w:rsidR="00394205">
        <w:rPr>
          <w:rStyle w:val="normaltextrun"/>
        </w:rPr>
        <w:t>S</w:t>
      </w:r>
      <w:r w:rsidR="004E6490">
        <w:rPr>
          <w:rStyle w:val="normaltextrun"/>
        </w:rPr>
        <w:t>ystem (CARS)</w:t>
      </w:r>
      <w:r w:rsidR="009E37FA">
        <w:rPr>
          <w:rStyle w:val="normaltextrun"/>
        </w:rPr>
        <w:t>,</w:t>
      </w:r>
      <w:r w:rsidR="003F3598">
        <w:rPr>
          <w:rStyle w:val="normaltextrun"/>
        </w:rPr>
        <w:t xml:space="preserve"> </w:t>
      </w:r>
      <w:r w:rsidR="009E37FA">
        <w:rPr>
          <w:rStyle w:val="normaltextrun"/>
        </w:rPr>
        <w:t>a</w:t>
      </w:r>
      <w:r w:rsidR="00394205">
        <w:rPr>
          <w:rStyle w:val="normaltextrun"/>
        </w:rPr>
        <w:t xml:space="preserve"> </w:t>
      </w:r>
      <w:r w:rsidR="00FD1C99">
        <w:rPr>
          <w:rStyle w:val="normaltextrun"/>
        </w:rPr>
        <w:t xml:space="preserve">balance </w:t>
      </w:r>
      <w:r w:rsidR="00394205">
        <w:rPr>
          <w:rStyle w:val="normaltextrun"/>
        </w:rPr>
        <w:t xml:space="preserve">will show </w:t>
      </w:r>
      <w:r w:rsidR="00FD1C99">
        <w:rPr>
          <w:rStyle w:val="normaltextrun"/>
        </w:rPr>
        <w:t>on the USSGL side</w:t>
      </w:r>
      <w:r w:rsidR="00394205">
        <w:rPr>
          <w:rStyle w:val="normaltextrun"/>
        </w:rPr>
        <w:t xml:space="preserve"> of the edit</w:t>
      </w:r>
      <w:r w:rsidR="00FD1C99">
        <w:rPr>
          <w:rStyle w:val="normaltextrun"/>
        </w:rPr>
        <w:t xml:space="preserve"> </w:t>
      </w:r>
      <w:r w:rsidR="00394205">
        <w:rPr>
          <w:rStyle w:val="normaltextrun"/>
        </w:rPr>
        <w:t>but</w:t>
      </w:r>
      <w:r w:rsidR="00FD1C99">
        <w:rPr>
          <w:rStyle w:val="normaltextrun"/>
        </w:rPr>
        <w:t xml:space="preserve"> not the BETC side</w:t>
      </w:r>
      <w:r w:rsidR="009E37FA">
        <w:rPr>
          <w:rStyle w:val="normaltextrun"/>
        </w:rPr>
        <w:t xml:space="preserve"> and trigger </w:t>
      </w:r>
      <w:r w:rsidR="00F8059B">
        <w:rPr>
          <w:rStyle w:val="normaltextrun"/>
        </w:rPr>
        <w:t>failure</w:t>
      </w:r>
      <w:r w:rsidR="00FD1C99">
        <w:rPr>
          <w:rStyle w:val="normaltextrun"/>
        </w:rPr>
        <w:t xml:space="preserve">. </w:t>
      </w:r>
      <w:r w:rsidR="003F3598">
        <w:rPr>
          <w:rStyle w:val="normaltextrun"/>
        </w:rPr>
        <w:t>Additionally</w:t>
      </w:r>
      <w:r w:rsidR="009E37FA">
        <w:rPr>
          <w:rStyle w:val="normaltextrun"/>
        </w:rPr>
        <w:t>, w</w:t>
      </w:r>
      <w:r w:rsidR="00FD1C99">
        <w:rPr>
          <w:rStyle w:val="normaltextrun"/>
        </w:rPr>
        <w:t xml:space="preserve">hen a </w:t>
      </w:r>
      <w:r w:rsidR="00F8059B">
        <w:rPr>
          <w:rStyle w:val="normaltextrun"/>
        </w:rPr>
        <w:t>federal entity</w:t>
      </w:r>
      <w:r w:rsidR="00FD1C99">
        <w:rPr>
          <w:rStyle w:val="normaltextrun"/>
        </w:rPr>
        <w:t xml:space="preserve"> </w:t>
      </w:r>
      <w:r w:rsidR="00394205">
        <w:rPr>
          <w:rStyle w:val="normaltextrun"/>
        </w:rPr>
        <w:t xml:space="preserve">reports one of the credit </w:t>
      </w:r>
      <w:proofErr w:type="gramStart"/>
      <w:r w:rsidR="00394205">
        <w:rPr>
          <w:rStyle w:val="normaltextrun"/>
        </w:rPr>
        <w:t>reform</w:t>
      </w:r>
      <w:proofErr w:type="gramEnd"/>
      <w:r w:rsidR="00394205">
        <w:rPr>
          <w:rStyle w:val="normaltextrun"/>
        </w:rPr>
        <w:t xml:space="preserve"> BETCs in CARS</w:t>
      </w:r>
      <w:r w:rsidR="00F8059B">
        <w:rPr>
          <w:rStyle w:val="normaltextrun"/>
        </w:rPr>
        <w:t>,</w:t>
      </w:r>
      <w:r w:rsidR="00394205">
        <w:rPr>
          <w:rStyle w:val="normaltextrun"/>
        </w:rPr>
        <w:t xml:space="preserve"> but</w:t>
      </w:r>
      <w:r w:rsidR="00FD1C99">
        <w:rPr>
          <w:rStyle w:val="normaltextrun"/>
        </w:rPr>
        <w:t xml:space="preserve"> the </w:t>
      </w:r>
      <w:r w:rsidR="003F3598">
        <w:rPr>
          <w:rStyle w:val="normaltextrun"/>
        </w:rPr>
        <w:t xml:space="preserve">corresponding </w:t>
      </w:r>
      <w:r w:rsidR="00FD1C99">
        <w:rPr>
          <w:rStyle w:val="normaltextrun"/>
        </w:rPr>
        <w:t>USSGL</w:t>
      </w:r>
      <w:r w:rsidR="00394205">
        <w:rPr>
          <w:rStyle w:val="normaltextrun"/>
        </w:rPr>
        <w:t xml:space="preserve"> is not reported to GTAS</w:t>
      </w:r>
      <w:r w:rsidR="009E37FA">
        <w:rPr>
          <w:rStyle w:val="normaltextrun"/>
        </w:rPr>
        <w:t>,</w:t>
      </w:r>
      <w:r w:rsidR="00FD1C99">
        <w:rPr>
          <w:rStyle w:val="normaltextrun"/>
        </w:rPr>
        <w:t xml:space="preserve"> a balance </w:t>
      </w:r>
      <w:r w:rsidR="009E37FA">
        <w:rPr>
          <w:rStyle w:val="normaltextrun"/>
        </w:rPr>
        <w:t xml:space="preserve">will show </w:t>
      </w:r>
      <w:r w:rsidR="00FD1C99">
        <w:rPr>
          <w:rStyle w:val="normaltextrun"/>
        </w:rPr>
        <w:t>on the BETC side</w:t>
      </w:r>
      <w:r w:rsidR="00394205">
        <w:rPr>
          <w:rStyle w:val="normaltextrun"/>
        </w:rPr>
        <w:t xml:space="preserve"> of the edit</w:t>
      </w:r>
      <w:r w:rsidR="00FD1C99">
        <w:rPr>
          <w:rStyle w:val="normaltextrun"/>
        </w:rPr>
        <w:t xml:space="preserve"> </w:t>
      </w:r>
      <w:r w:rsidR="00394205">
        <w:rPr>
          <w:rStyle w:val="normaltextrun"/>
        </w:rPr>
        <w:t>but</w:t>
      </w:r>
      <w:r w:rsidR="00FD1C99">
        <w:rPr>
          <w:rStyle w:val="normaltextrun"/>
        </w:rPr>
        <w:t xml:space="preserve"> not the USSGL side</w:t>
      </w:r>
      <w:r w:rsidR="00F41F60">
        <w:rPr>
          <w:rStyle w:val="normaltextrun"/>
        </w:rPr>
        <w:t xml:space="preserve"> and trigger </w:t>
      </w:r>
      <w:r w:rsidR="00F8059B">
        <w:rPr>
          <w:rStyle w:val="normaltextrun"/>
        </w:rPr>
        <w:t>failure</w:t>
      </w:r>
      <w:r w:rsidR="00FD1C99">
        <w:rPr>
          <w:rStyle w:val="normaltextrun"/>
        </w:rPr>
        <w:t>.</w:t>
      </w:r>
      <w:r w:rsidR="009E37FA">
        <w:rPr>
          <w:rStyle w:val="normaltextrun"/>
        </w:rPr>
        <w:t xml:space="preserve"> </w:t>
      </w:r>
    </w:p>
    <w:p w14:paraId="12340FE1" w14:textId="77777777" w:rsidR="001F1CD8" w:rsidRDefault="001F1CD8" w:rsidP="001F1CD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2CB23AAB" w14:textId="1C2CFAB1" w:rsidR="001F1CD8" w:rsidRDefault="001F1CD8" w:rsidP="001F1CD8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  <w:u w:val="single"/>
        </w:rPr>
        <w:t>Can my entity fail the edit without having a Credit Reform appropriation?</w:t>
      </w:r>
    </w:p>
    <w:p w14:paraId="5B900FCF" w14:textId="0BF18309" w:rsidR="001F1CD8" w:rsidRDefault="001F1CD8" w:rsidP="001F1CD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  <w:r>
        <w:rPr>
          <w:rStyle w:val="normaltextrun"/>
        </w:rPr>
        <w:t xml:space="preserve">Yes. If any federal entity reports one of the USSGLs or BETCs in Edits 125-132, they will trigger that the applicable edit and potentially fail (if the USSGL or BETC are used incorrectly). </w:t>
      </w:r>
    </w:p>
    <w:p w14:paraId="2E541CE2" w14:textId="40BB6C1D" w:rsidR="001F1CD8" w:rsidRPr="001F1CD8" w:rsidRDefault="001F1CD8" w:rsidP="001F1CD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4AF3AD2C" w14:textId="77777777" w:rsidR="003F3598" w:rsidRDefault="003F3598" w:rsidP="003F3598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  <w:r>
        <w:rPr>
          <w:rStyle w:val="normaltextrun"/>
          <w:b/>
          <w:bCs/>
          <w:u w:val="single"/>
        </w:rPr>
        <w:t>Which BETCs are part of GTAS Edits 125 – 132?</w:t>
      </w:r>
    </w:p>
    <w:p w14:paraId="2B942361" w14:textId="4BF6C0B2" w:rsidR="00DA336B" w:rsidRPr="00DA336B" w:rsidRDefault="00DA336B" w:rsidP="00DA336B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>
        <w:rPr>
          <w:rStyle w:val="normaltextrun"/>
        </w:rPr>
        <w:t>Please see the GTAS Edit Detail Reports below</w:t>
      </w:r>
    </w:p>
    <w:p w14:paraId="745AFAC1" w14:textId="77777777" w:rsidR="003F3598" w:rsidRDefault="003F3598" w:rsidP="00CC2765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</w:p>
    <w:p w14:paraId="6632DDC1" w14:textId="1BA0AD3E" w:rsidR="00287CFB" w:rsidRPr="00287CFB" w:rsidRDefault="00287CFB" w:rsidP="00CC276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  <w:u w:val="single"/>
        </w:rPr>
        <w:t>Where can my entity find the edit details?</w:t>
      </w:r>
    </w:p>
    <w:p w14:paraId="70A7E6B2" w14:textId="1D987EE5" w:rsidR="004D73DF" w:rsidRDefault="00DA336B" w:rsidP="00DA336B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>
        <w:rPr>
          <w:rStyle w:val="normaltextrun"/>
        </w:rPr>
        <w:t xml:space="preserve">The link to Treasury’s </w:t>
      </w:r>
      <w:r w:rsidR="00CC2765">
        <w:rPr>
          <w:rStyle w:val="normaltextrun"/>
        </w:rPr>
        <w:t>GTAS Edits</w:t>
      </w:r>
      <w:r w:rsidR="00FD1C99">
        <w:rPr>
          <w:rStyle w:val="normaltextrun"/>
        </w:rPr>
        <w:t xml:space="preserve"> </w:t>
      </w:r>
      <w:r>
        <w:rPr>
          <w:rStyle w:val="normaltextrun"/>
        </w:rPr>
        <w:t>Detail Report has been provided below:</w:t>
      </w:r>
    </w:p>
    <w:p w14:paraId="636212D8" w14:textId="7CA95498" w:rsidR="00800D91" w:rsidRPr="00800D91" w:rsidRDefault="00800D91" w:rsidP="00DA336B">
      <w:pPr>
        <w:pStyle w:val="paragraph"/>
        <w:spacing w:before="0" w:beforeAutospacing="0" w:after="0" w:afterAutospacing="0"/>
        <w:ind w:firstLine="720"/>
        <w:textAlignment w:val="baseline"/>
        <w:rPr>
          <w:rStyle w:val="Hyperlink"/>
        </w:rPr>
      </w:pPr>
      <w:r>
        <w:rPr>
          <w:rStyle w:val="normaltextrun"/>
        </w:rPr>
        <w:fldChar w:fldCharType="begin"/>
      </w:r>
      <w:r>
        <w:rPr>
          <w:rStyle w:val="normaltextrun"/>
        </w:rPr>
        <w:instrText>HYPERLINK "https://tfx.treasury.gov/tfm/supplements/ussgl/ussgl-part-1"</w:instrText>
      </w:r>
      <w:r>
        <w:rPr>
          <w:rStyle w:val="normaltextrun"/>
        </w:rPr>
      </w:r>
      <w:r>
        <w:rPr>
          <w:rStyle w:val="normaltextrun"/>
        </w:rPr>
        <w:fldChar w:fldCharType="separate"/>
      </w:r>
      <w:r w:rsidRPr="00800D91">
        <w:rPr>
          <w:rStyle w:val="Hyperlink"/>
        </w:rPr>
        <w:t>https://tfx.treasury.gov/tfm/supplements/ussgl/ussgl-part-1</w:t>
      </w:r>
    </w:p>
    <w:p w14:paraId="1A61FBA2" w14:textId="5B9B9BC6" w:rsidR="00CC2765" w:rsidRDefault="00800D91" w:rsidP="00373130">
      <w:pPr>
        <w:autoSpaceDE w:val="0"/>
        <w:autoSpaceDN w:val="0"/>
        <w:adjustRightInd w:val="0"/>
        <w:rPr>
          <w:rStyle w:val="normaltextrun"/>
        </w:rPr>
      </w:pPr>
      <w:r>
        <w:rPr>
          <w:rStyle w:val="normaltextrun"/>
        </w:rPr>
        <w:lastRenderedPageBreak/>
        <w:fldChar w:fldCharType="end"/>
      </w:r>
      <w:hyperlink r:id="rId7" w:history="1"/>
      <w:r w:rsidR="00373130">
        <w:rPr>
          <w:noProof/>
        </w:rPr>
        <w:drawing>
          <wp:inline distT="0" distB="0" distL="0" distR="0" wp14:anchorId="129FD54A" wp14:editId="494CD782">
            <wp:extent cx="5943600" cy="26441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15159" w14:textId="77777777" w:rsidR="00373130" w:rsidRDefault="00373130" w:rsidP="00373130">
      <w:pPr>
        <w:autoSpaceDE w:val="0"/>
        <w:autoSpaceDN w:val="0"/>
        <w:adjustRightInd w:val="0"/>
        <w:rPr>
          <w:rStyle w:val="normaltextrun"/>
        </w:rPr>
      </w:pPr>
    </w:p>
    <w:p w14:paraId="12965AEE" w14:textId="2BD4FC72" w:rsidR="00373130" w:rsidRDefault="00373130" w:rsidP="00373130">
      <w:pPr>
        <w:autoSpaceDE w:val="0"/>
        <w:autoSpaceDN w:val="0"/>
        <w:adjustRightInd w:val="0"/>
        <w:rPr>
          <w:rStyle w:val="normaltextrun"/>
        </w:rPr>
      </w:pPr>
      <w:r>
        <w:rPr>
          <w:noProof/>
        </w:rPr>
        <w:drawing>
          <wp:inline distT="0" distB="0" distL="0" distR="0" wp14:anchorId="52DA0AA4" wp14:editId="4ABCBEB8">
            <wp:extent cx="5943600" cy="20072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E55B09" w14:textId="77777777" w:rsidR="00FD1C99" w:rsidRDefault="00FD1C99" w:rsidP="00373130">
      <w:pPr>
        <w:autoSpaceDE w:val="0"/>
        <w:autoSpaceDN w:val="0"/>
        <w:adjustRightInd w:val="0"/>
        <w:rPr>
          <w:rStyle w:val="normaltextrun"/>
        </w:rPr>
      </w:pPr>
    </w:p>
    <w:p w14:paraId="72317CB8" w14:textId="2E704DA8" w:rsidR="00373130" w:rsidRDefault="00373130" w:rsidP="00373130">
      <w:pPr>
        <w:autoSpaceDE w:val="0"/>
        <w:autoSpaceDN w:val="0"/>
        <w:adjustRightInd w:val="0"/>
        <w:rPr>
          <w:rStyle w:val="normaltextrun"/>
        </w:rPr>
      </w:pPr>
      <w:r>
        <w:rPr>
          <w:noProof/>
        </w:rPr>
        <w:drawing>
          <wp:inline distT="0" distB="0" distL="0" distR="0" wp14:anchorId="38A301A7" wp14:editId="1E6FFA6D">
            <wp:extent cx="5943600" cy="18942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FF3F5" w14:textId="77777777" w:rsidR="00373130" w:rsidRDefault="00373130" w:rsidP="00373130">
      <w:pPr>
        <w:autoSpaceDE w:val="0"/>
        <w:autoSpaceDN w:val="0"/>
        <w:adjustRightInd w:val="0"/>
        <w:rPr>
          <w:rStyle w:val="normaltextrun"/>
        </w:rPr>
      </w:pPr>
    </w:p>
    <w:p w14:paraId="600CA46B" w14:textId="221848AF" w:rsidR="00373130" w:rsidRDefault="00373130" w:rsidP="00373130">
      <w:pPr>
        <w:autoSpaceDE w:val="0"/>
        <w:autoSpaceDN w:val="0"/>
        <w:adjustRightInd w:val="0"/>
        <w:rPr>
          <w:rStyle w:val="normaltextrun"/>
        </w:rPr>
      </w:pPr>
      <w:r>
        <w:rPr>
          <w:noProof/>
        </w:rPr>
        <w:lastRenderedPageBreak/>
        <w:drawing>
          <wp:inline distT="0" distB="0" distL="0" distR="0" wp14:anchorId="6B447E0B" wp14:editId="5D34088C">
            <wp:extent cx="5943600" cy="19272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93559" w14:textId="77777777" w:rsidR="00373130" w:rsidRDefault="00373130" w:rsidP="00373130">
      <w:pPr>
        <w:autoSpaceDE w:val="0"/>
        <w:autoSpaceDN w:val="0"/>
        <w:adjustRightInd w:val="0"/>
        <w:rPr>
          <w:rStyle w:val="normaltextrun"/>
        </w:rPr>
      </w:pPr>
    </w:p>
    <w:p w14:paraId="0BC2EFAB" w14:textId="5D5AA2DD" w:rsidR="00373130" w:rsidRDefault="00373130" w:rsidP="00373130">
      <w:pPr>
        <w:autoSpaceDE w:val="0"/>
        <w:autoSpaceDN w:val="0"/>
        <w:adjustRightInd w:val="0"/>
        <w:rPr>
          <w:rStyle w:val="normaltextrun"/>
        </w:rPr>
      </w:pPr>
      <w:r>
        <w:rPr>
          <w:noProof/>
        </w:rPr>
        <w:drawing>
          <wp:inline distT="0" distB="0" distL="0" distR="0" wp14:anchorId="3A114879" wp14:editId="690FE6DB">
            <wp:extent cx="5943600" cy="201993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6E8D3" w14:textId="64BEE01C" w:rsidR="00373130" w:rsidRDefault="00373130" w:rsidP="00373130">
      <w:pPr>
        <w:autoSpaceDE w:val="0"/>
        <w:autoSpaceDN w:val="0"/>
        <w:adjustRightInd w:val="0"/>
        <w:rPr>
          <w:rStyle w:val="normaltextrun"/>
        </w:rPr>
      </w:pPr>
    </w:p>
    <w:p w14:paraId="09A87CF3" w14:textId="52E94E5D" w:rsidR="00373130" w:rsidRDefault="00373130" w:rsidP="00373130">
      <w:pPr>
        <w:autoSpaceDE w:val="0"/>
        <w:autoSpaceDN w:val="0"/>
        <w:adjustRightInd w:val="0"/>
        <w:rPr>
          <w:rStyle w:val="normaltextrun"/>
        </w:rPr>
      </w:pPr>
      <w:r>
        <w:rPr>
          <w:noProof/>
        </w:rPr>
        <w:drawing>
          <wp:inline distT="0" distB="0" distL="0" distR="0" wp14:anchorId="135B0475" wp14:editId="1838B7A1">
            <wp:extent cx="5943600" cy="18954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02C70" w14:textId="796598AE" w:rsidR="00373130" w:rsidRDefault="00373130" w:rsidP="00373130">
      <w:pPr>
        <w:autoSpaceDE w:val="0"/>
        <w:autoSpaceDN w:val="0"/>
        <w:adjustRightInd w:val="0"/>
        <w:rPr>
          <w:rStyle w:val="normaltextrun"/>
        </w:rPr>
      </w:pPr>
    </w:p>
    <w:p w14:paraId="499F3CCD" w14:textId="69BE3910" w:rsidR="00373130" w:rsidRDefault="00373130" w:rsidP="00373130">
      <w:pPr>
        <w:autoSpaceDE w:val="0"/>
        <w:autoSpaceDN w:val="0"/>
        <w:adjustRightInd w:val="0"/>
        <w:rPr>
          <w:rStyle w:val="normaltextrun"/>
        </w:rPr>
      </w:pPr>
      <w:r>
        <w:rPr>
          <w:noProof/>
        </w:rPr>
        <w:lastRenderedPageBreak/>
        <w:drawing>
          <wp:inline distT="0" distB="0" distL="0" distR="0" wp14:anchorId="0A8164F7" wp14:editId="3C502592">
            <wp:extent cx="5943600" cy="21297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011A6" w14:textId="34D1EA4B" w:rsidR="00373130" w:rsidRDefault="00373130" w:rsidP="00373130">
      <w:pPr>
        <w:autoSpaceDE w:val="0"/>
        <w:autoSpaceDN w:val="0"/>
        <w:adjustRightInd w:val="0"/>
        <w:rPr>
          <w:rStyle w:val="normaltextrun"/>
        </w:rPr>
      </w:pPr>
    </w:p>
    <w:p w14:paraId="741602AE" w14:textId="0214E67F" w:rsidR="00373130" w:rsidRDefault="00373130" w:rsidP="00373130">
      <w:pPr>
        <w:autoSpaceDE w:val="0"/>
        <w:autoSpaceDN w:val="0"/>
        <w:adjustRightInd w:val="0"/>
        <w:rPr>
          <w:rStyle w:val="normaltextrun"/>
        </w:rPr>
      </w:pPr>
      <w:r>
        <w:rPr>
          <w:noProof/>
        </w:rPr>
        <w:drawing>
          <wp:inline distT="0" distB="0" distL="0" distR="0" wp14:anchorId="61F767D2" wp14:editId="0BEE0DFB">
            <wp:extent cx="5943600" cy="214503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B37A0" w14:textId="52F1FCBF" w:rsidR="000632DB" w:rsidRDefault="000632DB" w:rsidP="00373130">
      <w:pPr>
        <w:autoSpaceDE w:val="0"/>
        <w:autoSpaceDN w:val="0"/>
        <w:adjustRightInd w:val="0"/>
        <w:rPr>
          <w:rStyle w:val="normaltextrun"/>
        </w:rPr>
      </w:pPr>
    </w:p>
    <w:p w14:paraId="73EEFD23" w14:textId="77777777" w:rsidR="00CC2765" w:rsidRPr="00CC2765" w:rsidRDefault="00CC2765" w:rsidP="00CC276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trike/>
          <w:sz w:val="18"/>
          <w:szCs w:val="18"/>
        </w:rPr>
      </w:pPr>
    </w:p>
    <w:p w14:paraId="051F98C9" w14:textId="7457B03A" w:rsidR="00CC2765" w:rsidRPr="004D73DF" w:rsidRDefault="00FD1C99" w:rsidP="004D73D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  <w:r w:rsidRPr="004D73DF">
        <w:rPr>
          <w:rStyle w:val="normaltextrun"/>
          <w:b/>
          <w:bCs/>
          <w:u w:val="single"/>
        </w:rPr>
        <w:t>Who do I contact</w:t>
      </w:r>
      <w:r w:rsidR="005646CA" w:rsidRPr="004D73DF">
        <w:rPr>
          <w:rStyle w:val="normaltextrun"/>
          <w:b/>
          <w:bCs/>
          <w:u w:val="single"/>
        </w:rPr>
        <w:t xml:space="preserve"> with additional questions</w:t>
      </w:r>
      <w:r w:rsidRPr="004D73DF">
        <w:rPr>
          <w:rStyle w:val="normaltextrun"/>
          <w:b/>
          <w:bCs/>
          <w:u w:val="single"/>
        </w:rPr>
        <w:t>?</w:t>
      </w:r>
    </w:p>
    <w:p w14:paraId="452F88BC" w14:textId="68EE5B7E" w:rsidR="00FD1C99" w:rsidRPr="00FD1C99" w:rsidRDefault="00FD1C99" w:rsidP="004D73D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</w:rPr>
      </w:pPr>
      <w:r w:rsidRPr="00FD1C99">
        <w:rPr>
          <w:rStyle w:val="normaltextrun"/>
        </w:rPr>
        <w:t xml:space="preserve">The General Fund will answer any questions regarding GTAS Edits 125 – 132 going fatal. </w:t>
      </w:r>
      <w:r w:rsidR="003F3598">
        <w:rPr>
          <w:rStyle w:val="normaltextrun"/>
        </w:rPr>
        <w:t xml:space="preserve">Please send an email to </w:t>
      </w:r>
      <w:hyperlink r:id="rId16" w:history="1">
        <w:r w:rsidR="003F3598" w:rsidRPr="009D3978">
          <w:rPr>
            <w:rStyle w:val="Hyperlink"/>
          </w:rPr>
          <w:t>GeneralFund@fiscal.treasury.gov</w:t>
        </w:r>
      </w:hyperlink>
      <w:r w:rsidR="003F3598">
        <w:rPr>
          <w:rStyle w:val="normaltextrun"/>
        </w:rPr>
        <w:t xml:space="preserve"> with details.</w:t>
      </w:r>
    </w:p>
    <w:p w14:paraId="71740C8B" w14:textId="4D0DC051" w:rsidR="00FD1C99" w:rsidRDefault="00FD1C99" w:rsidP="00CC2765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i/>
          <w:iCs/>
        </w:rPr>
      </w:pPr>
    </w:p>
    <w:p w14:paraId="31B12BCF" w14:textId="17AAD30B" w:rsidR="005646CA" w:rsidRPr="004D73DF" w:rsidRDefault="00FD1C99" w:rsidP="004D73DF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u w:val="single"/>
        </w:rPr>
      </w:pPr>
      <w:r w:rsidRPr="004D73DF">
        <w:rPr>
          <w:rStyle w:val="normaltextrun"/>
          <w:b/>
          <w:bCs/>
          <w:u w:val="single"/>
        </w:rPr>
        <w:t xml:space="preserve">How does my </w:t>
      </w:r>
      <w:r w:rsidR="00F8059B">
        <w:rPr>
          <w:rStyle w:val="normaltextrun"/>
          <w:b/>
          <w:bCs/>
          <w:u w:val="single"/>
        </w:rPr>
        <w:t>entity</w:t>
      </w:r>
      <w:r w:rsidR="00F8059B" w:rsidRPr="004D73DF">
        <w:rPr>
          <w:rStyle w:val="normaltextrun"/>
          <w:b/>
          <w:bCs/>
          <w:u w:val="single"/>
        </w:rPr>
        <w:t xml:space="preserve"> </w:t>
      </w:r>
      <w:r w:rsidRPr="004D73DF">
        <w:rPr>
          <w:rStyle w:val="normaltextrun"/>
          <w:b/>
          <w:bCs/>
          <w:u w:val="single"/>
        </w:rPr>
        <w:t>know if we are passing or failing an edit?</w:t>
      </w:r>
    </w:p>
    <w:p w14:paraId="48850360" w14:textId="21B9AD4E" w:rsidR="0093481B" w:rsidRPr="005646CA" w:rsidRDefault="00F8059B" w:rsidP="004D73D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i/>
          <w:iCs/>
        </w:rPr>
      </w:pPr>
      <w:r>
        <w:rPr>
          <w:rStyle w:val="normaltextrun"/>
        </w:rPr>
        <w:t xml:space="preserve">Federal entities </w:t>
      </w:r>
      <w:r w:rsidR="0093481B">
        <w:rPr>
          <w:rStyle w:val="normaltextrun"/>
        </w:rPr>
        <w:t xml:space="preserve">can </w:t>
      </w:r>
      <w:r>
        <w:rPr>
          <w:rStyle w:val="normaltextrun"/>
        </w:rPr>
        <w:t>access</w:t>
      </w:r>
      <w:r w:rsidR="0093481B">
        <w:rPr>
          <w:rStyle w:val="normaltextrun"/>
        </w:rPr>
        <w:t xml:space="preserve"> GTAS and go to Bulk File, then My ATB Status, and click on Failed Edits.  You can select </w:t>
      </w:r>
      <w:r>
        <w:rPr>
          <w:rStyle w:val="normaltextrun"/>
        </w:rPr>
        <w:t>“</w:t>
      </w:r>
      <w:r w:rsidR="0093481B">
        <w:rPr>
          <w:rStyle w:val="normaltextrun"/>
        </w:rPr>
        <w:t>More Info on a TAS</w:t>
      </w:r>
      <w:r>
        <w:rPr>
          <w:rStyle w:val="normaltextrun"/>
        </w:rPr>
        <w:t>”</w:t>
      </w:r>
      <w:r w:rsidR="0093481B">
        <w:rPr>
          <w:rStyle w:val="normaltextrun"/>
        </w:rPr>
        <w:t xml:space="preserve"> which will show </w:t>
      </w:r>
      <w:r>
        <w:rPr>
          <w:rStyle w:val="normaltextrun"/>
        </w:rPr>
        <w:t xml:space="preserve">entities </w:t>
      </w:r>
      <w:r w:rsidR="0093481B">
        <w:rPr>
          <w:rStyle w:val="normaltextrun"/>
        </w:rPr>
        <w:t xml:space="preserve">which GTAS Edits they failed for that TAS </w:t>
      </w:r>
      <w:r>
        <w:rPr>
          <w:rStyle w:val="normaltextrun"/>
        </w:rPr>
        <w:t>(</w:t>
      </w:r>
      <w:r w:rsidR="0093481B">
        <w:rPr>
          <w:rStyle w:val="normaltextrun"/>
        </w:rPr>
        <w:t>and more detail around why they failed</w:t>
      </w:r>
      <w:r>
        <w:rPr>
          <w:rStyle w:val="normaltextrun"/>
        </w:rPr>
        <w:t>)</w:t>
      </w:r>
      <w:r w:rsidR="0093481B">
        <w:rPr>
          <w:rStyle w:val="normaltextrun"/>
        </w:rPr>
        <w:t xml:space="preserve">.  A report can also be </w:t>
      </w:r>
      <w:r>
        <w:rPr>
          <w:rStyle w:val="normaltextrun"/>
        </w:rPr>
        <w:t>run</w:t>
      </w:r>
      <w:r w:rsidR="0093481B">
        <w:rPr>
          <w:rStyle w:val="normaltextrun"/>
        </w:rPr>
        <w:t xml:space="preserve"> out of GTAS by clicking on Reports, then selecting the Validations/Edits link to show which GTAS edits their </w:t>
      </w:r>
      <w:r>
        <w:rPr>
          <w:rStyle w:val="normaltextrun"/>
        </w:rPr>
        <w:t xml:space="preserve">entity </w:t>
      </w:r>
      <w:r w:rsidR="0093481B">
        <w:rPr>
          <w:rStyle w:val="normaltextrun"/>
        </w:rPr>
        <w:t>failed.</w:t>
      </w:r>
    </w:p>
    <w:p w14:paraId="2563EE8D" w14:textId="7FC3751C" w:rsidR="003D28BB" w:rsidRDefault="003D28BB" w:rsidP="00F8059B">
      <w:pPr>
        <w:pStyle w:val="paragraph"/>
        <w:spacing w:before="0" w:beforeAutospacing="0" w:after="0" w:afterAutospacing="0"/>
        <w:textAlignment w:val="baseline"/>
        <w:rPr>
          <w:rStyle w:val="normaltextrun"/>
          <w:i/>
          <w:iCs/>
        </w:rPr>
      </w:pPr>
      <w:r>
        <w:rPr>
          <w:rStyle w:val="normaltextrun"/>
          <w:i/>
          <w:iCs/>
        </w:rPr>
        <w:tab/>
      </w:r>
      <w:r>
        <w:rPr>
          <w:rStyle w:val="normaltextrun"/>
          <w:i/>
          <w:iCs/>
        </w:rPr>
        <w:tab/>
      </w:r>
    </w:p>
    <w:p w14:paraId="6CA989D2" w14:textId="45942C34" w:rsidR="00CC2765" w:rsidRPr="005646CA" w:rsidRDefault="00FD1C99" w:rsidP="004D73D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i/>
          <w:iCs/>
        </w:rPr>
      </w:pPr>
      <w:r w:rsidRPr="00FD1C99">
        <w:rPr>
          <w:rStyle w:val="normaltextrun"/>
        </w:rPr>
        <w:t xml:space="preserve">The General Fund </w:t>
      </w:r>
      <w:r w:rsidR="0093481B">
        <w:rPr>
          <w:rStyle w:val="normaltextrun"/>
        </w:rPr>
        <w:t xml:space="preserve">also </w:t>
      </w:r>
      <w:r w:rsidRPr="00FD1C99">
        <w:rPr>
          <w:rStyle w:val="normaltextrun"/>
        </w:rPr>
        <w:t>does a</w:t>
      </w:r>
      <w:r w:rsidR="00F8059B">
        <w:rPr>
          <w:rStyle w:val="normaltextrun"/>
        </w:rPr>
        <w:t xml:space="preserve"> quarterly</w:t>
      </w:r>
      <w:r w:rsidRPr="00FD1C99">
        <w:rPr>
          <w:rStyle w:val="normaltextrun"/>
        </w:rPr>
        <w:t xml:space="preserve"> analysis to determine which </w:t>
      </w:r>
      <w:r w:rsidR="00F8059B">
        <w:rPr>
          <w:rStyle w:val="normaltextrun"/>
        </w:rPr>
        <w:t>entities</w:t>
      </w:r>
      <w:r w:rsidR="00F8059B" w:rsidRPr="00FD1C99">
        <w:rPr>
          <w:rStyle w:val="normaltextrun"/>
        </w:rPr>
        <w:t xml:space="preserve"> </w:t>
      </w:r>
      <w:r w:rsidRPr="00FD1C99">
        <w:rPr>
          <w:rStyle w:val="normaltextrun"/>
        </w:rPr>
        <w:t>and TAS are passing or failing Edits 125 – 132.</w:t>
      </w:r>
      <w:r w:rsidR="008D51C5">
        <w:rPr>
          <w:rStyle w:val="normaltextrun"/>
        </w:rPr>
        <w:t xml:space="preserve"> </w:t>
      </w:r>
      <w:r w:rsidR="00F8059B">
        <w:rPr>
          <w:rStyle w:val="normaltextrun"/>
        </w:rPr>
        <w:t>Please</w:t>
      </w:r>
      <w:r w:rsidR="008D51C5">
        <w:rPr>
          <w:rStyle w:val="normaltextrun"/>
        </w:rPr>
        <w:t xml:space="preserve"> email the General Fund inbox, requesting your </w:t>
      </w:r>
      <w:r w:rsidR="00F8059B">
        <w:rPr>
          <w:rStyle w:val="normaltextrun"/>
        </w:rPr>
        <w:t xml:space="preserve">entity’s </w:t>
      </w:r>
      <w:r w:rsidR="008D51C5">
        <w:rPr>
          <w:rStyle w:val="normaltextrun"/>
        </w:rPr>
        <w:t>data.</w:t>
      </w:r>
    </w:p>
    <w:p w14:paraId="3F192105" w14:textId="77777777" w:rsidR="00CC2765" w:rsidRPr="00CC2765" w:rsidRDefault="00CC2765" w:rsidP="00CC2765">
      <w:pPr>
        <w:rPr>
          <w:strike/>
        </w:rPr>
      </w:pPr>
    </w:p>
    <w:p w14:paraId="6E9622FC" w14:textId="1165736D" w:rsidR="005646CA" w:rsidRPr="005646CA" w:rsidRDefault="003F3598" w:rsidP="004D73D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The General Fund looks</w:t>
      </w:r>
      <w:r w:rsidR="00F8059B" w:rsidRPr="000632DB">
        <w:rPr>
          <w:rStyle w:val="normaltextrun"/>
        </w:rPr>
        <w:t xml:space="preserve"> forward to</w:t>
      </w:r>
      <w:r w:rsidR="00F8059B">
        <w:rPr>
          <w:rStyle w:val="normaltextrun"/>
        </w:rPr>
        <w:t xml:space="preserve"> assisting </w:t>
      </w:r>
      <w:r>
        <w:rPr>
          <w:rStyle w:val="normaltextrun"/>
        </w:rPr>
        <w:t>your entity</w:t>
      </w:r>
      <w:r w:rsidR="00F8059B" w:rsidRPr="000632DB">
        <w:rPr>
          <w:rStyle w:val="normaltextrun"/>
        </w:rPr>
        <w:t xml:space="preserve"> </w:t>
      </w:r>
      <w:r>
        <w:rPr>
          <w:rStyle w:val="normaltextrun"/>
        </w:rPr>
        <w:t>with</w:t>
      </w:r>
      <w:r w:rsidR="00F8059B" w:rsidRPr="000632DB">
        <w:rPr>
          <w:rStyle w:val="normaltextrun"/>
        </w:rPr>
        <w:t xml:space="preserve"> </w:t>
      </w:r>
      <w:r w:rsidR="00F8059B">
        <w:rPr>
          <w:rStyle w:val="normaltextrun"/>
        </w:rPr>
        <w:t xml:space="preserve">passing GTAS Edits 125 -132 throughout FY 2024 </w:t>
      </w:r>
      <w:r>
        <w:rPr>
          <w:rStyle w:val="normaltextrun"/>
        </w:rPr>
        <w:t>in preparation</w:t>
      </w:r>
      <w:r w:rsidR="00F8059B">
        <w:rPr>
          <w:rStyle w:val="normaltextrun"/>
        </w:rPr>
        <w:t xml:space="preserve"> for when</w:t>
      </w:r>
      <w:r w:rsidR="00F8059B" w:rsidRPr="000632DB">
        <w:rPr>
          <w:rStyle w:val="normaltextrun"/>
        </w:rPr>
        <w:t xml:space="preserve"> </w:t>
      </w:r>
      <w:r w:rsidR="00F8059B">
        <w:rPr>
          <w:rStyle w:val="normaltextrun"/>
        </w:rPr>
        <w:t>t</w:t>
      </w:r>
      <w:r w:rsidR="00F8059B" w:rsidRPr="000632DB">
        <w:rPr>
          <w:rStyle w:val="normaltextrun"/>
        </w:rPr>
        <w:t xml:space="preserve">he </w:t>
      </w:r>
      <w:r w:rsidR="00F8059B">
        <w:rPr>
          <w:rStyle w:val="normaltextrun"/>
        </w:rPr>
        <w:t xml:space="preserve">GTAS Edits go fatal </w:t>
      </w:r>
      <w:r w:rsidR="00800D91">
        <w:rPr>
          <w:rStyle w:val="normaltextrun"/>
        </w:rPr>
        <w:t xml:space="preserve">for Period 2 FY 2025 </w:t>
      </w:r>
      <w:r w:rsidR="00F8059B">
        <w:rPr>
          <w:rStyle w:val="normaltextrun"/>
        </w:rPr>
        <w:t>reporting</w:t>
      </w:r>
      <w:r w:rsidR="00F8059B" w:rsidRPr="000632DB">
        <w:rPr>
          <w:rStyle w:val="normaltextrun"/>
        </w:rPr>
        <w:t>.</w:t>
      </w:r>
      <w:r w:rsidR="00F8059B" w:rsidRPr="000632DB">
        <w:rPr>
          <w:rStyle w:val="eop"/>
        </w:rPr>
        <w:t> </w:t>
      </w:r>
    </w:p>
    <w:p w14:paraId="298B8C39" w14:textId="77777777" w:rsidR="00CC2765" w:rsidRPr="005646CA" w:rsidRDefault="00CC2765" w:rsidP="00CC2765"/>
    <w:p w14:paraId="36F9D48D" w14:textId="3FEE4EAB" w:rsidR="00CC2765" w:rsidRPr="00475A3C" w:rsidRDefault="003F3598" w:rsidP="00CC2765">
      <w:r>
        <w:t>Thank you for your engagement, commitment, and compliance with these requirements! Please</w:t>
      </w:r>
      <w:r w:rsidRPr="005646CA">
        <w:t xml:space="preserve"> submit questions to </w:t>
      </w:r>
      <w:hyperlink r:id="rId17" w:history="1">
        <w:r w:rsidRPr="005646CA">
          <w:rPr>
            <w:rStyle w:val="Hyperlink"/>
          </w:rPr>
          <w:t>GeneralFund@fiscal.treasury.gov</w:t>
        </w:r>
      </w:hyperlink>
      <w:r>
        <w:rPr>
          <w:rStyle w:val="Hyperlink"/>
        </w:rPr>
        <w:t>.</w:t>
      </w:r>
    </w:p>
    <w:p w14:paraId="0DB18FAE" w14:textId="040368D3" w:rsidR="00FF3130" w:rsidRPr="00475A3C" w:rsidRDefault="00FF3130">
      <w:pPr>
        <w:rPr>
          <w:strike/>
        </w:rPr>
      </w:pPr>
    </w:p>
    <w:sectPr w:rsidR="00FF3130" w:rsidRPr="0047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CE0"/>
    <w:multiLevelType w:val="multilevel"/>
    <w:tmpl w:val="A5F0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81802"/>
    <w:multiLevelType w:val="multilevel"/>
    <w:tmpl w:val="5096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58759B"/>
    <w:multiLevelType w:val="multilevel"/>
    <w:tmpl w:val="F400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1601C5"/>
    <w:multiLevelType w:val="multilevel"/>
    <w:tmpl w:val="382A05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3CAB3923"/>
    <w:multiLevelType w:val="multilevel"/>
    <w:tmpl w:val="78DE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214F7"/>
    <w:multiLevelType w:val="multilevel"/>
    <w:tmpl w:val="0CB4C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FC5154"/>
    <w:multiLevelType w:val="multilevel"/>
    <w:tmpl w:val="AACA83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595E4526"/>
    <w:multiLevelType w:val="multilevel"/>
    <w:tmpl w:val="E6E80C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8" w15:restartNumberingAfterBreak="0">
    <w:nsid w:val="699969C0"/>
    <w:multiLevelType w:val="multilevel"/>
    <w:tmpl w:val="51AC8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476488"/>
    <w:multiLevelType w:val="multilevel"/>
    <w:tmpl w:val="EFB806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 w16cid:durableId="1363434135">
    <w:abstractNumId w:val="2"/>
  </w:num>
  <w:num w:numId="2" w16cid:durableId="24984887">
    <w:abstractNumId w:val="9"/>
  </w:num>
  <w:num w:numId="3" w16cid:durableId="575477633">
    <w:abstractNumId w:val="7"/>
  </w:num>
  <w:num w:numId="4" w16cid:durableId="1210803778">
    <w:abstractNumId w:val="0"/>
  </w:num>
  <w:num w:numId="5" w16cid:durableId="196964833">
    <w:abstractNumId w:val="6"/>
  </w:num>
  <w:num w:numId="6" w16cid:durableId="1588224045">
    <w:abstractNumId w:val="1"/>
  </w:num>
  <w:num w:numId="7" w16cid:durableId="77792826">
    <w:abstractNumId w:val="3"/>
  </w:num>
  <w:num w:numId="8" w16cid:durableId="20288655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74419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3282053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65"/>
    <w:rsid w:val="000632DB"/>
    <w:rsid w:val="0009275E"/>
    <w:rsid w:val="001F1CD8"/>
    <w:rsid w:val="00287CFB"/>
    <w:rsid w:val="00351E0A"/>
    <w:rsid w:val="00373130"/>
    <w:rsid w:val="00394205"/>
    <w:rsid w:val="003D28BB"/>
    <w:rsid w:val="003F3598"/>
    <w:rsid w:val="0044586B"/>
    <w:rsid w:val="00475A3C"/>
    <w:rsid w:val="00481320"/>
    <w:rsid w:val="004B5B9B"/>
    <w:rsid w:val="004D73DF"/>
    <w:rsid w:val="004E6490"/>
    <w:rsid w:val="0050257C"/>
    <w:rsid w:val="00562CA4"/>
    <w:rsid w:val="005646CA"/>
    <w:rsid w:val="005F14C0"/>
    <w:rsid w:val="0062598F"/>
    <w:rsid w:val="006358B7"/>
    <w:rsid w:val="00800D91"/>
    <w:rsid w:val="008612A2"/>
    <w:rsid w:val="008D51C5"/>
    <w:rsid w:val="0093481B"/>
    <w:rsid w:val="009E37FA"/>
    <w:rsid w:val="00C10D09"/>
    <w:rsid w:val="00C53812"/>
    <w:rsid w:val="00C82C34"/>
    <w:rsid w:val="00CA2658"/>
    <w:rsid w:val="00CC2765"/>
    <w:rsid w:val="00D074A5"/>
    <w:rsid w:val="00DA336B"/>
    <w:rsid w:val="00E60EDD"/>
    <w:rsid w:val="00F41F60"/>
    <w:rsid w:val="00F8059B"/>
    <w:rsid w:val="00FD1C99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C3F3"/>
  <w15:chartTrackingRefBased/>
  <w15:docId w15:val="{0B57E3E2-7CD4-434E-9C9B-3D1A6B43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7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765"/>
    <w:rPr>
      <w:color w:val="0563C1"/>
      <w:u w:val="single"/>
    </w:rPr>
  </w:style>
  <w:style w:type="paragraph" w:customStyle="1" w:styleId="paragraph">
    <w:name w:val="paragraph"/>
    <w:basedOn w:val="Normal"/>
    <w:rsid w:val="00CC276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C2765"/>
  </w:style>
  <w:style w:type="character" w:customStyle="1" w:styleId="eop">
    <w:name w:val="eop"/>
    <w:basedOn w:val="DefaultParagraphFont"/>
    <w:rsid w:val="00CC2765"/>
  </w:style>
  <w:style w:type="character" w:customStyle="1" w:styleId="tabchar">
    <w:name w:val="tabchar"/>
    <w:basedOn w:val="DefaultParagraphFont"/>
    <w:rsid w:val="00CC2765"/>
  </w:style>
  <w:style w:type="character" w:styleId="UnresolvedMention">
    <w:name w:val="Unresolved Mention"/>
    <w:basedOn w:val="DefaultParagraphFont"/>
    <w:uiPriority w:val="99"/>
    <w:semiHidden/>
    <w:unhideWhenUsed/>
    <w:rsid w:val="000632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0D0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82C34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F41F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1F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1F6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F6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fx.treasury.gov/tfm/supplements/ussgl/ussgl-part-1" TargetMode="External"/><Relationship Id="rId12" Type="http://schemas.openxmlformats.org/officeDocument/2006/relationships/image" Target="media/image5.png"/><Relationship Id="rId17" Type="http://schemas.openxmlformats.org/officeDocument/2006/relationships/hyperlink" Target="mailto:GeneralFund@fiscal.treasury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GeneralFund@fiscal.treasury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hitehouse.gov" TargetMode="External"/><Relationship Id="rId11" Type="http://schemas.openxmlformats.org/officeDocument/2006/relationships/image" Target="media/image4.png"/><Relationship Id="rId5" Type="http://schemas.openxmlformats.org/officeDocument/2006/relationships/hyperlink" Target="mailto:creditcrew@omg.eop.gov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Fiscal Service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Chaplin</dc:creator>
  <cp:keywords/>
  <dc:description/>
  <cp:lastModifiedBy>Michael Boone</cp:lastModifiedBy>
  <cp:revision>3</cp:revision>
  <dcterms:created xsi:type="dcterms:W3CDTF">2024-04-09T21:23:00Z</dcterms:created>
  <dcterms:modified xsi:type="dcterms:W3CDTF">2024-04-15T15:57:00Z</dcterms:modified>
</cp:coreProperties>
</file>