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CD8C85" w14:textId="5A9BC4B1" w:rsidR="000600BB" w:rsidRPr="008872FB" w:rsidRDefault="00665854" w:rsidP="008872FB">
      <w:pPr>
        <w:pStyle w:val="Default"/>
        <w:jc w:val="center"/>
        <w:rPr>
          <w:b/>
          <w:color w:val="auto"/>
          <w:sz w:val="26"/>
          <w:szCs w:val="26"/>
          <w:u w:val="single"/>
        </w:rPr>
      </w:pPr>
      <w:r w:rsidRPr="008872FB">
        <w:rPr>
          <w:b/>
          <w:color w:val="auto"/>
          <w:sz w:val="26"/>
          <w:szCs w:val="26"/>
          <w:u w:val="single"/>
        </w:rPr>
        <w:t>Proposed</w:t>
      </w:r>
      <w:r w:rsidR="00711186" w:rsidRPr="008872FB">
        <w:rPr>
          <w:b/>
          <w:color w:val="auto"/>
          <w:sz w:val="26"/>
          <w:szCs w:val="26"/>
          <w:u w:val="single"/>
        </w:rPr>
        <w:t xml:space="preserve"> FY 2020</w:t>
      </w:r>
      <w:r w:rsidRPr="008872FB">
        <w:rPr>
          <w:b/>
          <w:color w:val="auto"/>
          <w:sz w:val="26"/>
          <w:szCs w:val="26"/>
          <w:u w:val="single"/>
        </w:rPr>
        <w:t xml:space="preserve"> Changes to </w:t>
      </w:r>
      <w:r w:rsidR="00C75330" w:rsidRPr="008872FB">
        <w:rPr>
          <w:b/>
          <w:color w:val="auto"/>
          <w:sz w:val="26"/>
          <w:szCs w:val="26"/>
          <w:u w:val="single"/>
        </w:rPr>
        <w:t>Loan Guarantee Liability Transaction Codes</w:t>
      </w:r>
      <w:r w:rsidR="00443394" w:rsidRPr="008872FB">
        <w:rPr>
          <w:b/>
          <w:color w:val="auto"/>
          <w:sz w:val="26"/>
          <w:szCs w:val="26"/>
          <w:u w:val="single"/>
        </w:rPr>
        <w:t xml:space="preserve"> (TCs):</w:t>
      </w:r>
    </w:p>
    <w:p w14:paraId="3B4F41EB" w14:textId="77777777" w:rsidR="00843816" w:rsidRDefault="00843816" w:rsidP="00A537B0">
      <w:pPr>
        <w:pStyle w:val="Default"/>
        <w:rPr>
          <w:b/>
          <w:color w:val="auto"/>
        </w:rPr>
      </w:pPr>
    </w:p>
    <w:p w14:paraId="14B411ED" w14:textId="15A6CD07" w:rsidR="00A537B0" w:rsidRPr="008872FB" w:rsidRDefault="008872FB" w:rsidP="00A537B0">
      <w:pPr>
        <w:pStyle w:val="Default"/>
        <w:rPr>
          <w:b/>
          <w:color w:val="auto"/>
        </w:rPr>
      </w:pPr>
      <w:r>
        <w:rPr>
          <w:b/>
          <w:color w:val="auto"/>
        </w:rPr>
        <w:t xml:space="preserve">1) </w:t>
      </w:r>
      <w:r w:rsidR="00A537B0" w:rsidRPr="008872FB">
        <w:rPr>
          <w:b/>
          <w:color w:val="auto"/>
        </w:rPr>
        <w:t xml:space="preserve">Proposed </w:t>
      </w:r>
      <w:r w:rsidR="00B04FF0" w:rsidRPr="008872FB">
        <w:rPr>
          <w:b/>
          <w:color w:val="auto"/>
        </w:rPr>
        <w:t xml:space="preserve">TC </w:t>
      </w:r>
      <w:r w:rsidR="00CF1AF2" w:rsidRPr="008872FB">
        <w:rPr>
          <w:b/>
          <w:color w:val="auto"/>
        </w:rPr>
        <w:t>Modification</w:t>
      </w:r>
      <w:r w:rsidR="00A537B0" w:rsidRPr="008872FB">
        <w:rPr>
          <w:b/>
          <w:color w:val="auto"/>
        </w:rPr>
        <w:t xml:space="preserve"> </w:t>
      </w:r>
      <w:r w:rsidR="004775CF" w:rsidRPr="008872FB">
        <w:rPr>
          <w:b/>
          <w:color w:val="auto"/>
        </w:rPr>
        <w:t xml:space="preserve">to Record </w:t>
      </w:r>
      <w:r w:rsidR="00CF1AF2" w:rsidRPr="008872FB">
        <w:rPr>
          <w:b/>
          <w:color w:val="auto"/>
        </w:rPr>
        <w:t xml:space="preserve">Loan Guarantee </w:t>
      </w:r>
      <w:r w:rsidR="004775CF" w:rsidRPr="008872FB">
        <w:rPr>
          <w:b/>
          <w:color w:val="auto"/>
        </w:rPr>
        <w:t>Fees</w:t>
      </w:r>
      <w:r w:rsidR="00B04FF0" w:rsidRPr="008872FB">
        <w:rPr>
          <w:b/>
          <w:color w:val="auto"/>
        </w:rPr>
        <w:t xml:space="preserve"> Earned, B</w:t>
      </w:r>
      <w:r w:rsidR="004775CF" w:rsidRPr="008872FB">
        <w:rPr>
          <w:b/>
          <w:color w:val="auto"/>
        </w:rPr>
        <w:t>ut Not Yet Collected</w:t>
      </w:r>
      <w:r w:rsidR="00A537B0" w:rsidRPr="008872FB">
        <w:rPr>
          <w:b/>
          <w:color w:val="auto"/>
        </w:rPr>
        <w:t>:</w:t>
      </w:r>
    </w:p>
    <w:p w14:paraId="4D2FC514" w14:textId="127FD076" w:rsidR="00A760C2" w:rsidRPr="00CD2004" w:rsidRDefault="00A760C2" w:rsidP="00CF1AF2">
      <w:pPr>
        <w:pStyle w:val="Default"/>
        <w:rPr>
          <w:b/>
          <w:color w:val="auto"/>
          <w:u w:val="single"/>
        </w:rPr>
      </w:pPr>
    </w:p>
    <w:p w14:paraId="3D552940" w14:textId="7CBE04A9" w:rsidR="00A537B0" w:rsidRDefault="00A760C2" w:rsidP="00A537B0">
      <w:pPr>
        <w:pStyle w:val="Default"/>
      </w:pPr>
      <w:r>
        <w:rPr>
          <w:b/>
          <w:bCs/>
        </w:rPr>
        <w:t>C428</w:t>
      </w:r>
      <w:r w:rsidR="00A537B0" w:rsidRPr="00021CF9">
        <w:rPr>
          <w:b/>
          <w:bCs/>
        </w:rPr>
        <w:t xml:space="preserve"> </w:t>
      </w:r>
      <w:r w:rsidRPr="00A760C2">
        <w:t>To record loans</w:t>
      </w:r>
      <w:r w:rsidR="004658D9">
        <w:t>, interest</w:t>
      </w:r>
      <w:r w:rsidR="004658D9" w:rsidRPr="003931EA">
        <w:rPr>
          <w:color w:val="4F81BD" w:themeColor="accent1"/>
        </w:rPr>
        <w:t>,</w:t>
      </w:r>
      <w:r w:rsidRPr="003931EA">
        <w:rPr>
          <w:color w:val="4F81BD" w:themeColor="accent1"/>
        </w:rPr>
        <w:t xml:space="preserve"> and </w:t>
      </w:r>
      <w:r w:rsidR="003931EA" w:rsidRPr="003931EA">
        <w:rPr>
          <w:color w:val="4F81BD" w:themeColor="accent1"/>
        </w:rPr>
        <w:t>fees</w:t>
      </w:r>
      <w:r w:rsidR="007E3D3D">
        <w:t xml:space="preserve"> receivable from non-F</w:t>
      </w:r>
      <w:r w:rsidRPr="00A760C2">
        <w:t>ederal sources for defaulted guaranteed loans</w:t>
      </w:r>
      <w:r w:rsidR="002B4578">
        <w:t xml:space="preserve"> </w:t>
      </w:r>
      <w:r w:rsidR="002B4578" w:rsidRPr="002B4578">
        <w:rPr>
          <w:color w:val="4F81BD" w:themeColor="accent1"/>
        </w:rPr>
        <w:t>and loan guarantee activity</w:t>
      </w:r>
      <w:r w:rsidRPr="00A760C2">
        <w:t>. Do not consider as a budgetary resource until collected.</w:t>
      </w:r>
    </w:p>
    <w:p w14:paraId="071C5964" w14:textId="77777777" w:rsidR="00A537B0" w:rsidRPr="00021CF9" w:rsidRDefault="00A537B0" w:rsidP="00A537B0">
      <w:pPr>
        <w:pStyle w:val="Default"/>
      </w:pPr>
    </w:p>
    <w:p w14:paraId="15009B21" w14:textId="77777777" w:rsidR="00A760C2" w:rsidRDefault="00A537B0" w:rsidP="00A537B0">
      <w:pPr>
        <w:pStyle w:val="Default"/>
      </w:pPr>
      <w:r w:rsidRPr="00021CF9">
        <w:rPr>
          <w:b/>
          <w:bCs/>
        </w:rPr>
        <w:t xml:space="preserve">Comment: </w:t>
      </w:r>
      <w:r w:rsidR="00A760C2" w:rsidRPr="00A760C2">
        <w:t>Applicable to activity for guaranteed loans.</w:t>
      </w:r>
    </w:p>
    <w:p w14:paraId="6F1EDCB5" w14:textId="21F4FECD" w:rsidR="00A537B0" w:rsidRPr="00021CF9" w:rsidRDefault="00A537B0" w:rsidP="00A537B0">
      <w:pPr>
        <w:pStyle w:val="Default"/>
      </w:pPr>
    </w:p>
    <w:p w14:paraId="0E060C2F" w14:textId="77777777" w:rsidR="00A537B0" w:rsidRPr="00021CF9" w:rsidRDefault="00A537B0" w:rsidP="00A537B0">
      <w:pPr>
        <w:pStyle w:val="Default"/>
      </w:pPr>
      <w:r w:rsidRPr="00021CF9">
        <w:rPr>
          <w:b/>
          <w:bCs/>
        </w:rPr>
        <w:t xml:space="preserve">Budgetary Entry </w:t>
      </w:r>
    </w:p>
    <w:p w14:paraId="2B7357B9" w14:textId="77777777" w:rsidR="00A760C2" w:rsidRDefault="00A760C2" w:rsidP="00A760C2">
      <w:pPr>
        <w:pStyle w:val="Default"/>
      </w:pPr>
      <w:r w:rsidRPr="00021CF9">
        <w:t>None</w:t>
      </w:r>
    </w:p>
    <w:p w14:paraId="52CC6D89" w14:textId="77777777" w:rsidR="00A760C2" w:rsidRDefault="00A760C2" w:rsidP="00A537B0">
      <w:pPr>
        <w:pStyle w:val="Default"/>
        <w:rPr>
          <w:b/>
          <w:bCs/>
        </w:rPr>
      </w:pPr>
    </w:p>
    <w:p w14:paraId="2C0A96A9" w14:textId="78D1EE32" w:rsidR="00A760C2" w:rsidRDefault="00A760C2" w:rsidP="00A537B0">
      <w:pPr>
        <w:pStyle w:val="Default"/>
        <w:rPr>
          <w:b/>
          <w:bCs/>
        </w:rPr>
      </w:pPr>
      <w:r>
        <w:rPr>
          <w:b/>
          <w:bCs/>
        </w:rPr>
        <w:t>Proprietary Entry</w:t>
      </w:r>
    </w:p>
    <w:p w14:paraId="4B91C7AA" w14:textId="20BB3C35" w:rsidR="00A760C2" w:rsidRPr="00A760C2" w:rsidRDefault="00A760C2" w:rsidP="00A537B0">
      <w:pPr>
        <w:pStyle w:val="Default"/>
        <w:rPr>
          <w:color w:val="4F81BD" w:themeColor="accent1"/>
        </w:rPr>
      </w:pPr>
      <w:r w:rsidRPr="00A760C2">
        <w:rPr>
          <w:color w:val="4F81BD" w:themeColor="accent1"/>
        </w:rPr>
        <w:t>Debit 131000 Accounts Receivable</w:t>
      </w:r>
    </w:p>
    <w:p w14:paraId="68750972" w14:textId="580B081C" w:rsidR="00A537B0" w:rsidRDefault="00A760C2" w:rsidP="00A537B0">
      <w:pPr>
        <w:pStyle w:val="Default"/>
      </w:pPr>
      <w:r>
        <w:t xml:space="preserve">Debit 134100 </w:t>
      </w:r>
      <w:r w:rsidRPr="00A760C2">
        <w:t xml:space="preserve">Interest Receivable </w:t>
      </w:r>
      <w:r>
        <w:t>–</w:t>
      </w:r>
      <w:r w:rsidRPr="00A760C2">
        <w:t xml:space="preserve"> Loans</w:t>
      </w:r>
    </w:p>
    <w:p w14:paraId="1FF7EB80" w14:textId="4799616B" w:rsidR="00A760C2" w:rsidRDefault="00A760C2" w:rsidP="00A537B0">
      <w:pPr>
        <w:pStyle w:val="Default"/>
      </w:pPr>
      <w:r>
        <w:t>Debit 135000 Loans Receivable</w:t>
      </w:r>
    </w:p>
    <w:p w14:paraId="75710523" w14:textId="06C33548" w:rsidR="00A760C2" w:rsidRDefault="00A760C2" w:rsidP="00A537B0">
      <w:pPr>
        <w:pStyle w:val="Default"/>
      </w:pPr>
      <w:r>
        <w:tab/>
        <w:t xml:space="preserve">Credit 139900 </w:t>
      </w:r>
      <w:r w:rsidRPr="00A760C2">
        <w:t>Allowance for Subsidy</w:t>
      </w:r>
    </w:p>
    <w:p w14:paraId="6CF84A94" w14:textId="6DED56E1" w:rsidR="00A537B0" w:rsidRPr="00A760C2" w:rsidRDefault="00A760C2" w:rsidP="00A537B0">
      <w:pPr>
        <w:pStyle w:val="Default"/>
        <w:rPr>
          <w:bCs/>
        </w:rPr>
      </w:pPr>
      <w:r>
        <w:rPr>
          <w:b/>
          <w:bCs/>
        </w:rPr>
        <w:tab/>
      </w:r>
      <w:r w:rsidRPr="00A760C2">
        <w:rPr>
          <w:bCs/>
        </w:rPr>
        <w:t>Credit 218000 Loan Guarantee Liability</w:t>
      </w:r>
    </w:p>
    <w:p w14:paraId="0C520CC0" w14:textId="485B2D1A" w:rsidR="00A537B0" w:rsidRDefault="00A537B0" w:rsidP="00A537B0">
      <w:pPr>
        <w:pStyle w:val="Default"/>
        <w:rPr>
          <w:b/>
          <w:bCs/>
        </w:rPr>
      </w:pPr>
    </w:p>
    <w:p w14:paraId="78FB7782" w14:textId="51529D3D" w:rsidR="00A760C2" w:rsidRPr="00155424" w:rsidRDefault="00A760C2" w:rsidP="00A760C2">
      <w:pP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55424">
        <w:rPr>
          <w:rFonts w:ascii="Times New Roman" w:hAnsi="Times New Roman" w:cs="Times New Roman"/>
          <w:b/>
          <w:sz w:val="24"/>
          <w:szCs w:val="24"/>
        </w:rPr>
        <w:t xml:space="preserve">Justification: </w:t>
      </w:r>
      <w:r w:rsidR="00CF1AF2">
        <w:rPr>
          <w:rFonts w:ascii="Times New Roman" w:hAnsi="Times New Roman" w:cs="Times New Roman"/>
          <w:sz w:val="24"/>
          <w:szCs w:val="24"/>
        </w:rPr>
        <w:t>The addition of USSGL 131000 Accounts Receivable allows agencies to record loan guarantee fee earned, but not yet collected</w:t>
      </w:r>
      <w:r w:rsidR="009D4DEC">
        <w:rPr>
          <w:rFonts w:ascii="Times New Roman" w:hAnsi="Times New Roman" w:cs="Times New Roman"/>
          <w:sz w:val="24"/>
          <w:szCs w:val="24"/>
        </w:rPr>
        <w:t>,</w:t>
      </w:r>
      <w:r w:rsidR="00A0180D">
        <w:rPr>
          <w:rFonts w:ascii="Times New Roman" w:hAnsi="Times New Roman" w:cs="Times New Roman"/>
          <w:sz w:val="24"/>
          <w:szCs w:val="24"/>
        </w:rPr>
        <w:t xml:space="preserve"> to a receivable account and the offsetting Loan Guarantee Liability account</w:t>
      </w:r>
      <w:r w:rsidR="00CF1AF2">
        <w:rPr>
          <w:rFonts w:ascii="Times New Roman" w:hAnsi="Times New Roman" w:cs="Times New Roman"/>
          <w:sz w:val="24"/>
          <w:szCs w:val="24"/>
        </w:rPr>
        <w:t xml:space="preserve">.  Once cash is </w:t>
      </w:r>
      <w:r w:rsidR="00066B9B">
        <w:rPr>
          <w:rFonts w:ascii="Times New Roman" w:hAnsi="Times New Roman" w:cs="Times New Roman"/>
          <w:sz w:val="24"/>
          <w:szCs w:val="24"/>
        </w:rPr>
        <w:t>ultimately</w:t>
      </w:r>
      <w:r w:rsidR="00CF1AF2">
        <w:rPr>
          <w:rFonts w:ascii="Times New Roman" w:hAnsi="Times New Roman" w:cs="Times New Roman"/>
          <w:sz w:val="24"/>
          <w:szCs w:val="24"/>
        </w:rPr>
        <w:t xml:space="preserve"> collected, agencies should record TC A140 and C109.</w:t>
      </w:r>
    </w:p>
    <w:p w14:paraId="32F01548" w14:textId="5F658E0E" w:rsidR="00A760C2" w:rsidRDefault="00A760C2" w:rsidP="00A537B0">
      <w:pPr>
        <w:pStyle w:val="Default"/>
        <w:rPr>
          <w:b/>
          <w:bCs/>
        </w:rPr>
      </w:pPr>
    </w:p>
    <w:p w14:paraId="670A7D84" w14:textId="1658719C" w:rsidR="00A0180D" w:rsidRDefault="00A0180D" w:rsidP="008872FB">
      <w:pPr>
        <w:pStyle w:val="Default"/>
        <w:rPr>
          <w:b/>
          <w:color w:val="auto"/>
        </w:rPr>
      </w:pPr>
    </w:p>
    <w:p w14:paraId="40C47F8A" w14:textId="77777777" w:rsidR="00A0180D" w:rsidRDefault="00A0180D" w:rsidP="008872FB">
      <w:pPr>
        <w:pStyle w:val="Default"/>
        <w:rPr>
          <w:b/>
          <w:color w:val="auto"/>
        </w:rPr>
      </w:pPr>
    </w:p>
    <w:p w14:paraId="173CC16C" w14:textId="7B9461E3" w:rsidR="00A0180D" w:rsidRDefault="00A0180D" w:rsidP="008872FB">
      <w:pPr>
        <w:pStyle w:val="Default"/>
        <w:rPr>
          <w:b/>
          <w:color w:val="auto"/>
        </w:rPr>
      </w:pPr>
    </w:p>
    <w:p w14:paraId="3CD44C5B" w14:textId="32F40EE2" w:rsidR="00A0180D" w:rsidRDefault="00A0180D" w:rsidP="008872FB">
      <w:pPr>
        <w:pStyle w:val="Default"/>
        <w:rPr>
          <w:b/>
          <w:color w:val="auto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76C35DAB" wp14:editId="075547D0">
            <wp:simplePos x="0" y="0"/>
            <wp:positionH relativeFrom="column">
              <wp:posOffset>733425</wp:posOffset>
            </wp:positionH>
            <wp:positionV relativeFrom="paragraph">
              <wp:posOffset>5715</wp:posOffset>
            </wp:positionV>
            <wp:extent cx="4580952" cy="2533333"/>
            <wp:effectExtent l="0" t="0" r="0" b="63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80952" cy="253333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121B671" w14:textId="0DF96067" w:rsidR="00A0180D" w:rsidRDefault="00A0180D" w:rsidP="008872FB">
      <w:pPr>
        <w:pStyle w:val="Default"/>
        <w:rPr>
          <w:b/>
          <w:color w:val="auto"/>
        </w:rPr>
      </w:pPr>
    </w:p>
    <w:p w14:paraId="6567399E" w14:textId="67DD6D49" w:rsidR="00A0180D" w:rsidRDefault="00A0180D" w:rsidP="008872FB">
      <w:pPr>
        <w:pStyle w:val="Default"/>
        <w:rPr>
          <w:b/>
          <w:color w:val="auto"/>
        </w:rPr>
      </w:pPr>
    </w:p>
    <w:p w14:paraId="7753D2B3" w14:textId="0008C95C" w:rsidR="00A0180D" w:rsidRDefault="00A0180D" w:rsidP="008872FB">
      <w:pPr>
        <w:pStyle w:val="Default"/>
        <w:rPr>
          <w:b/>
          <w:color w:val="auto"/>
        </w:rPr>
      </w:pPr>
    </w:p>
    <w:p w14:paraId="35CB8065" w14:textId="77777777" w:rsidR="00A0180D" w:rsidRDefault="00A0180D" w:rsidP="008872FB">
      <w:pPr>
        <w:pStyle w:val="Default"/>
        <w:rPr>
          <w:b/>
          <w:color w:val="auto"/>
        </w:rPr>
      </w:pPr>
    </w:p>
    <w:p w14:paraId="034B334D" w14:textId="77777777" w:rsidR="00A0180D" w:rsidRDefault="00A0180D" w:rsidP="008872FB">
      <w:pPr>
        <w:pStyle w:val="Default"/>
        <w:rPr>
          <w:b/>
          <w:color w:val="auto"/>
        </w:rPr>
      </w:pPr>
    </w:p>
    <w:p w14:paraId="354365BA" w14:textId="77777777" w:rsidR="00A0180D" w:rsidRDefault="00A0180D" w:rsidP="008872FB">
      <w:pPr>
        <w:pStyle w:val="Default"/>
        <w:rPr>
          <w:b/>
          <w:color w:val="auto"/>
        </w:rPr>
      </w:pPr>
    </w:p>
    <w:p w14:paraId="71568E52" w14:textId="77777777" w:rsidR="00A0180D" w:rsidRDefault="00A0180D" w:rsidP="008872FB">
      <w:pPr>
        <w:pStyle w:val="Default"/>
        <w:rPr>
          <w:b/>
          <w:color w:val="auto"/>
        </w:rPr>
      </w:pPr>
    </w:p>
    <w:p w14:paraId="525302CC" w14:textId="77777777" w:rsidR="00A0180D" w:rsidRDefault="00A0180D" w:rsidP="008872FB">
      <w:pPr>
        <w:pStyle w:val="Default"/>
        <w:rPr>
          <w:b/>
          <w:color w:val="auto"/>
        </w:rPr>
      </w:pPr>
    </w:p>
    <w:p w14:paraId="2ED7D630" w14:textId="77777777" w:rsidR="00A0180D" w:rsidRDefault="00A0180D" w:rsidP="008872FB">
      <w:pPr>
        <w:pStyle w:val="Default"/>
        <w:rPr>
          <w:b/>
          <w:color w:val="auto"/>
        </w:rPr>
      </w:pPr>
    </w:p>
    <w:p w14:paraId="42A2D89A" w14:textId="77777777" w:rsidR="00A0180D" w:rsidRDefault="00A0180D" w:rsidP="008872FB">
      <w:pPr>
        <w:pStyle w:val="Default"/>
        <w:rPr>
          <w:b/>
          <w:color w:val="auto"/>
        </w:rPr>
      </w:pPr>
    </w:p>
    <w:p w14:paraId="0EE5EA18" w14:textId="77777777" w:rsidR="00A0180D" w:rsidRDefault="00A0180D" w:rsidP="008872FB">
      <w:pPr>
        <w:pStyle w:val="Default"/>
        <w:rPr>
          <w:b/>
          <w:color w:val="auto"/>
        </w:rPr>
      </w:pPr>
    </w:p>
    <w:p w14:paraId="2B4C1FF6" w14:textId="77777777" w:rsidR="00A0180D" w:rsidRDefault="00A0180D" w:rsidP="008872FB">
      <w:pPr>
        <w:pStyle w:val="Default"/>
        <w:rPr>
          <w:b/>
          <w:color w:val="auto"/>
        </w:rPr>
      </w:pPr>
    </w:p>
    <w:p w14:paraId="1323BDBD" w14:textId="77777777" w:rsidR="00A0180D" w:rsidRDefault="00A0180D" w:rsidP="008872FB">
      <w:pPr>
        <w:pStyle w:val="Default"/>
        <w:rPr>
          <w:b/>
          <w:color w:val="auto"/>
        </w:rPr>
      </w:pPr>
    </w:p>
    <w:p w14:paraId="41BD4A5E" w14:textId="77777777" w:rsidR="00A0180D" w:rsidRDefault="00A0180D" w:rsidP="008872FB">
      <w:pPr>
        <w:pStyle w:val="Default"/>
        <w:rPr>
          <w:b/>
          <w:color w:val="auto"/>
        </w:rPr>
      </w:pPr>
    </w:p>
    <w:p w14:paraId="4C317F72" w14:textId="77777777" w:rsidR="00A0180D" w:rsidRDefault="00A0180D" w:rsidP="008872FB">
      <w:pPr>
        <w:pStyle w:val="Default"/>
        <w:rPr>
          <w:b/>
          <w:color w:val="auto"/>
        </w:rPr>
      </w:pPr>
    </w:p>
    <w:p w14:paraId="4C0D6D45" w14:textId="77777777" w:rsidR="00A0180D" w:rsidRDefault="00A0180D" w:rsidP="008872FB">
      <w:pPr>
        <w:pStyle w:val="Default"/>
        <w:rPr>
          <w:b/>
          <w:color w:val="auto"/>
        </w:rPr>
      </w:pPr>
    </w:p>
    <w:p w14:paraId="51C07ABB" w14:textId="595FD223" w:rsidR="008872FB" w:rsidRPr="008872FB" w:rsidRDefault="008872FB" w:rsidP="008872FB">
      <w:pPr>
        <w:pStyle w:val="Default"/>
        <w:rPr>
          <w:b/>
          <w:color w:val="auto"/>
        </w:rPr>
      </w:pPr>
      <w:r>
        <w:rPr>
          <w:b/>
          <w:color w:val="auto"/>
        </w:rPr>
        <w:lastRenderedPageBreak/>
        <w:t xml:space="preserve">2) </w:t>
      </w:r>
      <w:r w:rsidRPr="008872FB">
        <w:rPr>
          <w:b/>
          <w:color w:val="auto"/>
        </w:rPr>
        <w:t xml:space="preserve">Proposed </w:t>
      </w:r>
      <w:r w:rsidR="00983014">
        <w:rPr>
          <w:b/>
          <w:color w:val="auto"/>
        </w:rPr>
        <w:t xml:space="preserve">New </w:t>
      </w:r>
      <w:r w:rsidRPr="008872FB">
        <w:rPr>
          <w:b/>
          <w:color w:val="auto"/>
        </w:rPr>
        <w:t xml:space="preserve">TC </w:t>
      </w:r>
      <w:r>
        <w:rPr>
          <w:b/>
          <w:color w:val="auto"/>
        </w:rPr>
        <w:t>Addition</w:t>
      </w:r>
      <w:r w:rsidRPr="008872FB">
        <w:rPr>
          <w:b/>
          <w:color w:val="auto"/>
        </w:rPr>
        <w:t xml:space="preserve"> to Record Loan Guarantee </w:t>
      </w:r>
      <w:r>
        <w:rPr>
          <w:b/>
          <w:color w:val="auto"/>
        </w:rPr>
        <w:t>Claims Incurred, But Not Yet Disbursed</w:t>
      </w:r>
      <w:r w:rsidRPr="008872FB">
        <w:rPr>
          <w:b/>
          <w:color w:val="auto"/>
        </w:rPr>
        <w:t>:</w:t>
      </w:r>
    </w:p>
    <w:p w14:paraId="37EFC3E6" w14:textId="77777777" w:rsidR="00A537B0" w:rsidRDefault="00A537B0" w:rsidP="00A537B0">
      <w:pPr>
        <w:pStyle w:val="Default"/>
        <w:rPr>
          <w:b/>
          <w:bCs/>
          <w:sz w:val="20"/>
          <w:szCs w:val="20"/>
        </w:rPr>
      </w:pPr>
    </w:p>
    <w:p w14:paraId="6D1EF5A3" w14:textId="623F29E4" w:rsidR="00A537B0" w:rsidRDefault="00705CBF" w:rsidP="00A537B0">
      <w:pPr>
        <w:pStyle w:val="Default"/>
      </w:pPr>
      <w:r>
        <w:rPr>
          <w:b/>
          <w:bCs/>
        </w:rPr>
        <w:t>B417</w:t>
      </w:r>
      <w:r w:rsidR="00A537B0" w:rsidRPr="00401F85">
        <w:rPr>
          <w:b/>
          <w:bCs/>
        </w:rPr>
        <w:t xml:space="preserve"> </w:t>
      </w:r>
      <w:r w:rsidRPr="00705CBF">
        <w:t>To record in a loan guarantee financing account an accrued expense to a third party, in which no asset is received.  This transaction includes payments of incurred default claims, interest supplements, and other loan guarantee financing claims.</w:t>
      </w:r>
    </w:p>
    <w:p w14:paraId="2C36FCC7" w14:textId="77777777" w:rsidR="00705CBF" w:rsidRPr="00401F85" w:rsidRDefault="00705CBF" w:rsidP="00A537B0">
      <w:pPr>
        <w:pStyle w:val="Default"/>
      </w:pPr>
    </w:p>
    <w:p w14:paraId="57C2577D" w14:textId="285DC80E" w:rsidR="00A537B0" w:rsidRDefault="00A537B0" w:rsidP="00A537B0">
      <w:pPr>
        <w:pStyle w:val="Default"/>
      </w:pPr>
      <w:r w:rsidRPr="00401F85">
        <w:rPr>
          <w:b/>
          <w:bCs/>
        </w:rPr>
        <w:t xml:space="preserve">Comment: </w:t>
      </w:r>
      <w:r w:rsidR="00705CBF" w:rsidRPr="00705CBF">
        <w:t>Only post this transaction for claims within a loan guarantee financing account that are incurred, but not yet disbursed.  At the time of disbursement to a third-party, post USSGL TC-B110.</w:t>
      </w:r>
    </w:p>
    <w:p w14:paraId="55A33831" w14:textId="77777777" w:rsidR="00A537B0" w:rsidRPr="00401F85" w:rsidRDefault="00A537B0" w:rsidP="00A537B0">
      <w:pPr>
        <w:pStyle w:val="Default"/>
      </w:pPr>
    </w:p>
    <w:p w14:paraId="71AF8B36" w14:textId="5D69BF83" w:rsidR="00A537B0" w:rsidRDefault="00A537B0" w:rsidP="00A537B0">
      <w:pPr>
        <w:pStyle w:val="Default"/>
      </w:pPr>
      <w:r w:rsidRPr="00401F85">
        <w:rPr>
          <w:b/>
          <w:bCs/>
        </w:rPr>
        <w:t xml:space="preserve">Reference: </w:t>
      </w:r>
      <w:r w:rsidR="00705CBF" w:rsidRPr="00705CBF">
        <w:t>USSGL implementation guidance; Credit Reform Case Studies</w:t>
      </w:r>
    </w:p>
    <w:p w14:paraId="767C8788" w14:textId="77777777" w:rsidR="00A537B0" w:rsidRPr="00401F85" w:rsidRDefault="00A537B0" w:rsidP="00A537B0">
      <w:pPr>
        <w:pStyle w:val="Default"/>
      </w:pPr>
    </w:p>
    <w:p w14:paraId="2268626C" w14:textId="77777777" w:rsidR="00A537B0" w:rsidRPr="00401F85" w:rsidRDefault="00A537B0" w:rsidP="00A537B0">
      <w:pPr>
        <w:pStyle w:val="Default"/>
      </w:pPr>
      <w:r w:rsidRPr="00401F85">
        <w:rPr>
          <w:b/>
          <w:bCs/>
        </w:rPr>
        <w:t xml:space="preserve">Budgetary Entry </w:t>
      </w:r>
    </w:p>
    <w:p w14:paraId="19948002" w14:textId="60A8312A" w:rsidR="00A537B0" w:rsidRPr="00401F85" w:rsidRDefault="00A537B0" w:rsidP="00A537B0">
      <w:pPr>
        <w:pStyle w:val="Default"/>
      </w:pPr>
      <w:r w:rsidRPr="00401F85">
        <w:t xml:space="preserve">Debit </w:t>
      </w:r>
      <w:r w:rsidR="00705CBF" w:rsidRPr="00705CBF">
        <w:t>461000 Allotments - Realized Resources</w:t>
      </w:r>
    </w:p>
    <w:p w14:paraId="196108F7" w14:textId="15D0F1D0" w:rsidR="00A537B0" w:rsidRDefault="00A537B0" w:rsidP="00A537B0">
      <w:pPr>
        <w:pStyle w:val="Default"/>
      </w:pPr>
      <w:r>
        <w:t xml:space="preserve">   </w:t>
      </w:r>
      <w:r w:rsidR="00705CBF">
        <w:tab/>
      </w:r>
      <w:r w:rsidRPr="00401F85">
        <w:t xml:space="preserve">Credit </w:t>
      </w:r>
      <w:r w:rsidR="00705CBF" w:rsidRPr="00705CBF">
        <w:t>490100 Delivered Orders - Obligations, Unpaid</w:t>
      </w:r>
    </w:p>
    <w:p w14:paraId="0BD98538" w14:textId="4B5E9F8B" w:rsidR="009B6230" w:rsidRPr="00401F85" w:rsidRDefault="009B6230" w:rsidP="00A537B0">
      <w:pPr>
        <w:pStyle w:val="Default"/>
      </w:pPr>
    </w:p>
    <w:p w14:paraId="3AA1A427" w14:textId="77777777" w:rsidR="00A537B0" w:rsidRPr="00401F85" w:rsidRDefault="00A537B0" w:rsidP="00A537B0">
      <w:pPr>
        <w:pStyle w:val="Default"/>
      </w:pPr>
      <w:r w:rsidRPr="00401F85">
        <w:rPr>
          <w:b/>
          <w:bCs/>
        </w:rPr>
        <w:t xml:space="preserve">Proprietary Entry </w:t>
      </w:r>
    </w:p>
    <w:p w14:paraId="202477D1" w14:textId="1C8A64A0" w:rsidR="00A537B0" w:rsidRDefault="00705CBF" w:rsidP="00705CBF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705CBF">
        <w:rPr>
          <w:rFonts w:ascii="Times New Roman" w:hAnsi="Times New Roman" w:cs="Times New Roman"/>
          <w:color w:val="000000"/>
          <w:sz w:val="24"/>
          <w:szCs w:val="24"/>
        </w:rPr>
        <w:t>218000 Loan Guarantee Liability</w:t>
      </w:r>
    </w:p>
    <w:p w14:paraId="6C216256" w14:textId="477838E3" w:rsidR="009B6230" w:rsidRDefault="00705CBF" w:rsidP="00902061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705CBF">
        <w:rPr>
          <w:rFonts w:ascii="Times New Roman" w:hAnsi="Times New Roman" w:cs="Times New Roman"/>
          <w:color w:val="000000"/>
          <w:sz w:val="24"/>
          <w:szCs w:val="24"/>
        </w:rPr>
        <w:t>211000 Accounts Payable</w:t>
      </w:r>
    </w:p>
    <w:p w14:paraId="1C24EA65" w14:textId="05606C59" w:rsidR="009B6230" w:rsidRPr="00155424" w:rsidRDefault="009B6230" w:rsidP="009B6230">
      <w:pP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55424">
        <w:rPr>
          <w:rFonts w:ascii="Times New Roman" w:hAnsi="Times New Roman" w:cs="Times New Roman"/>
          <w:b/>
          <w:sz w:val="24"/>
          <w:szCs w:val="24"/>
        </w:rPr>
        <w:t xml:space="preserve">Justification: </w:t>
      </w:r>
      <w:r>
        <w:rPr>
          <w:rFonts w:ascii="Times New Roman" w:hAnsi="Times New Roman" w:cs="Times New Roman"/>
          <w:sz w:val="24"/>
          <w:szCs w:val="24"/>
        </w:rPr>
        <w:t xml:space="preserve">The addition of </w:t>
      </w:r>
      <w:r w:rsidR="007E5D57">
        <w:rPr>
          <w:rFonts w:ascii="Times New Roman" w:hAnsi="Times New Roman" w:cs="Times New Roman"/>
          <w:sz w:val="24"/>
          <w:szCs w:val="24"/>
        </w:rPr>
        <w:t>TC B417</w:t>
      </w:r>
      <w:r>
        <w:rPr>
          <w:rFonts w:ascii="Times New Roman" w:hAnsi="Times New Roman" w:cs="Times New Roman"/>
          <w:sz w:val="24"/>
          <w:szCs w:val="24"/>
        </w:rPr>
        <w:t xml:space="preserve"> allows agencies to record loan guarantee </w:t>
      </w:r>
      <w:r w:rsidR="00EA40AF">
        <w:rPr>
          <w:rFonts w:ascii="Times New Roman" w:hAnsi="Times New Roman" w:cs="Times New Roman"/>
          <w:sz w:val="24"/>
          <w:szCs w:val="24"/>
        </w:rPr>
        <w:t>claims</w:t>
      </w:r>
      <w:r w:rsidR="00066B9B">
        <w:rPr>
          <w:rFonts w:ascii="Times New Roman" w:hAnsi="Times New Roman" w:cs="Times New Roman"/>
          <w:sz w:val="24"/>
          <w:szCs w:val="24"/>
        </w:rPr>
        <w:t xml:space="preserve"> incurred, but not yet disbursed</w:t>
      </w:r>
      <w:r w:rsidR="00EA40AF">
        <w:rPr>
          <w:rFonts w:ascii="Times New Roman" w:hAnsi="Times New Roman" w:cs="Times New Roman"/>
          <w:sz w:val="24"/>
          <w:szCs w:val="24"/>
        </w:rPr>
        <w:t>,</w:t>
      </w:r>
      <w:r w:rsidR="00066B9B">
        <w:rPr>
          <w:rFonts w:ascii="Times New Roman" w:hAnsi="Times New Roman" w:cs="Times New Roman"/>
          <w:sz w:val="24"/>
          <w:szCs w:val="24"/>
        </w:rPr>
        <w:t xml:space="preserve"> directly to the Loan Guarantee Liability account. </w:t>
      </w:r>
      <w:r>
        <w:rPr>
          <w:rFonts w:ascii="Times New Roman" w:hAnsi="Times New Roman" w:cs="Times New Roman"/>
          <w:sz w:val="24"/>
          <w:szCs w:val="24"/>
        </w:rPr>
        <w:t xml:space="preserve"> Once cash is </w:t>
      </w:r>
      <w:r w:rsidR="00066B9B">
        <w:rPr>
          <w:rFonts w:ascii="Times New Roman" w:hAnsi="Times New Roman" w:cs="Times New Roman"/>
          <w:sz w:val="24"/>
          <w:szCs w:val="24"/>
        </w:rPr>
        <w:t>ultimately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66B9B">
        <w:rPr>
          <w:rFonts w:ascii="Times New Roman" w:hAnsi="Times New Roman" w:cs="Times New Roman"/>
          <w:sz w:val="24"/>
          <w:szCs w:val="24"/>
        </w:rPr>
        <w:t>disbursed</w:t>
      </w:r>
      <w:r>
        <w:rPr>
          <w:rFonts w:ascii="Times New Roman" w:hAnsi="Times New Roman" w:cs="Times New Roman"/>
          <w:sz w:val="24"/>
          <w:szCs w:val="24"/>
        </w:rPr>
        <w:t xml:space="preserve">, agencies should record TC </w:t>
      </w:r>
      <w:r w:rsidR="00066B9B">
        <w:rPr>
          <w:rFonts w:ascii="Times New Roman" w:hAnsi="Times New Roman" w:cs="Times New Roman"/>
          <w:sz w:val="24"/>
          <w:szCs w:val="24"/>
        </w:rPr>
        <w:t>B110</w:t>
      </w:r>
      <w:r>
        <w:rPr>
          <w:rFonts w:ascii="Times New Roman" w:hAnsi="Times New Roman" w:cs="Times New Roman"/>
          <w:sz w:val="24"/>
          <w:szCs w:val="24"/>
        </w:rPr>
        <w:t>.</w:t>
      </w:r>
      <w:bookmarkStart w:id="0" w:name="_GoBack"/>
      <w:bookmarkEnd w:id="0"/>
    </w:p>
    <w:p w14:paraId="3F90834F" w14:textId="48544E22" w:rsidR="00B82432" w:rsidRDefault="00B82432" w:rsidP="00B82432">
      <w:pPr>
        <w:pStyle w:val="Default"/>
      </w:pPr>
      <w:r w:rsidRPr="00B82432">
        <w:t xml:space="preserve"> </w:t>
      </w:r>
    </w:p>
    <w:p w14:paraId="5DF97A14" w14:textId="2A9C761D" w:rsidR="00B80B4D" w:rsidRPr="00B80B4D" w:rsidRDefault="00B80B4D" w:rsidP="004F5AC5">
      <w:pPr>
        <w:pStyle w:val="Default"/>
        <w:rPr>
          <w:color w:val="4F81BD" w:themeColor="accent1"/>
          <w:sz w:val="23"/>
          <w:szCs w:val="23"/>
        </w:rPr>
      </w:pPr>
    </w:p>
    <w:p w14:paraId="46CD4C39" w14:textId="52A5C0BC" w:rsidR="002367E5" w:rsidRPr="002367E5" w:rsidRDefault="002367E5" w:rsidP="002367E5">
      <w:pPr>
        <w:pStyle w:val="Default"/>
        <w:rPr>
          <w:b/>
          <w:u w:val="single"/>
        </w:rPr>
      </w:pPr>
    </w:p>
    <w:p w14:paraId="4CF20351" w14:textId="731AAB26" w:rsidR="00711186" w:rsidRPr="00711186" w:rsidRDefault="00711186" w:rsidP="00711186">
      <w:pPr>
        <w:pStyle w:val="Default"/>
      </w:pPr>
    </w:p>
    <w:p w14:paraId="7B7627BE" w14:textId="1929D08B" w:rsidR="00711186" w:rsidRDefault="00711186" w:rsidP="00711186">
      <w:pPr>
        <w:pStyle w:val="Default"/>
        <w:rPr>
          <w:sz w:val="23"/>
          <w:szCs w:val="23"/>
        </w:rPr>
      </w:pPr>
    </w:p>
    <w:p w14:paraId="7EDFA4BF" w14:textId="4ED72068" w:rsidR="00711186" w:rsidRPr="00711186" w:rsidRDefault="00711186" w:rsidP="00711186">
      <w:pPr>
        <w:pStyle w:val="Default"/>
      </w:pPr>
    </w:p>
    <w:p w14:paraId="64C035FC" w14:textId="2E030A01" w:rsidR="00711186" w:rsidRPr="00711186" w:rsidRDefault="00710992" w:rsidP="00711186">
      <w:pPr>
        <w:pStyle w:val="Default"/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617F4342" wp14:editId="1EDE30DF">
            <wp:simplePos x="0" y="0"/>
            <wp:positionH relativeFrom="column">
              <wp:posOffset>857250</wp:posOffset>
            </wp:positionH>
            <wp:positionV relativeFrom="paragraph">
              <wp:posOffset>13335</wp:posOffset>
            </wp:positionV>
            <wp:extent cx="4400000" cy="2171429"/>
            <wp:effectExtent l="0" t="0" r="635" b="635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00000" cy="217142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CE3F577" w14:textId="77777777" w:rsidR="00711186" w:rsidRPr="00711186" w:rsidRDefault="00711186" w:rsidP="00711186">
      <w:pPr>
        <w:pStyle w:val="Default"/>
      </w:pPr>
    </w:p>
    <w:p w14:paraId="104CA5CF" w14:textId="77777777" w:rsidR="00711186" w:rsidRDefault="00711186" w:rsidP="00711186">
      <w:pPr>
        <w:pStyle w:val="Default"/>
      </w:pPr>
    </w:p>
    <w:p w14:paraId="6781A5ED" w14:textId="77777777" w:rsidR="00711186" w:rsidRDefault="00711186" w:rsidP="00711186">
      <w:pPr>
        <w:pStyle w:val="Default"/>
      </w:pPr>
    </w:p>
    <w:p w14:paraId="73C769FC" w14:textId="77777777" w:rsidR="00711186" w:rsidRPr="00711186" w:rsidRDefault="00711186" w:rsidP="00711186">
      <w:pPr>
        <w:pStyle w:val="Default"/>
      </w:pPr>
    </w:p>
    <w:p w14:paraId="4439D02C" w14:textId="77777777" w:rsidR="00711186" w:rsidRPr="00711186" w:rsidRDefault="00711186" w:rsidP="007111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8F409EA" w14:textId="77777777" w:rsidR="00665854" w:rsidRDefault="00665854" w:rsidP="00665854">
      <w:pPr>
        <w:spacing w:line="240" w:lineRule="auto"/>
        <w:rPr>
          <w:sz w:val="23"/>
          <w:szCs w:val="23"/>
        </w:rPr>
      </w:pPr>
      <w:r>
        <w:rPr>
          <w:sz w:val="23"/>
          <w:szCs w:val="23"/>
        </w:rPr>
        <w:t xml:space="preserve"> </w:t>
      </w:r>
    </w:p>
    <w:p w14:paraId="452D3F5B" w14:textId="77777777" w:rsidR="00665854" w:rsidRDefault="00665854" w:rsidP="00665854">
      <w:pPr>
        <w:rPr>
          <w:sz w:val="23"/>
          <w:szCs w:val="23"/>
        </w:rPr>
      </w:pPr>
    </w:p>
    <w:p w14:paraId="73E46EE1" w14:textId="77777777" w:rsidR="00665854" w:rsidRDefault="00665854" w:rsidP="00665854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D7EB25D" w14:textId="77777777" w:rsidR="00665854" w:rsidRPr="00665854" w:rsidRDefault="00665854" w:rsidP="00665854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665854" w:rsidRPr="00665854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1921BA8" w14:textId="77777777" w:rsidR="009B0DEC" w:rsidRDefault="009B0DEC" w:rsidP="00D37D23">
      <w:pPr>
        <w:spacing w:after="0" w:line="240" w:lineRule="auto"/>
      </w:pPr>
      <w:r>
        <w:separator/>
      </w:r>
    </w:p>
  </w:endnote>
  <w:endnote w:type="continuationSeparator" w:id="0">
    <w:p w14:paraId="3E45FE21" w14:textId="77777777" w:rsidR="009B0DEC" w:rsidRDefault="009B0DEC" w:rsidP="00D37D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4151261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150517B" w14:textId="5F133092" w:rsidR="00F66F3D" w:rsidRDefault="00F66F3D" w:rsidP="00F66F3D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A40AF">
          <w:rPr>
            <w:noProof/>
          </w:rPr>
          <w:t>2</w:t>
        </w:r>
        <w:r>
          <w:rPr>
            <w:noProof/>
          </w:rPr>
          <w:fldChar w:fldCharType="end"/>
        </w:r>
        <w:r>
          <w:rPr>
            <w:noProof/>
          </w:rPr>
          <w:t xml:space="preserve">                                                                      IRC Handout </w:t>
        </w:r>
        <w:r w:rsidR="006A095C">
          <w:rPr>
            <w:noProof/>
          </w:rPr>
          <w:t>12</w:t>
        </w:r>
        <w:r>
          <w:rPr>
            <w:noProof/>
          </w:rPr>
          <w:t>/</w:t>
        </w:r>
        <w:r w:rsidR="006A095C">
          <w:rPr>
            <w:noProof/>
          </w:rPr>
          <w:t>05</w:t>
        </w:r>
        <w:r>
          <w:rPr>
            <w:noProof/>
          </w:rPr>
          <w:t>/19</w:t>
        </w:r>
      </w:p>
    </w:sdtContent>
  </w:sdt>
  <w:p w14:paraId="347F0DCD" w14:textId="77777777" w:rsidR="00D37D23" w:rsidRDefault="00D37D2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ACCDBF7" w14:textId="77777777" w:rsidR="009B0DEC" w:rsidRDefault="009B0DEC" w:rsidP="00D37D23">
      <w:pPr>
        <w:spacing w:after="0" w:line="240" w:lineRule="auto"/>
      </w:pPr>
      <w:r>
        <w:separator/>
      </w:r>
    </w:p>
  </w:footnote>
  <w:footnote w:type="continuationSeparator" w:id="0">
    <w:p w14:paraId="4FDA171E" w14:textId="77777777" w:rsidR="009B0DEC" w:rsidRDefault="009B0DEC" w:rsidP="00D37D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73620833"/>
      <w:docPartObj>
        <w:docPartGallery w:val="Watermarks"/>
        <w:docPartUnique/>
      </w:docPartObj>
    </w:sdtPr>
    <w:sdtEndPr/>
    <w:sdtContent>
      <w:p w14:paraId="02D54448" w14:textId="0C9E698C" w:rsidR="00E84CE6" w:rsidRDefault="00EA40AF">
        <w:pPr>
          <w:pStyle w:val="Header"/>
        </w:pPr>
        <w:r>
          <w:rPr>
            <w:noProof/>
          </w:rPr>
          <w:pict w14:anchorId="26C936AC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5854"/>
    <w:rsid w:val="00021CF9"/>
    <w:rsid w:val="00032537"/>
    <w:rsid w:val="0005279F"/>
    <w:rsid w:val="000600BB"/>
    <w:rsid w:val="00066B9B"/>
    <w:rsid w:val="000C2ACA"/>
    <w:rsid w:val="001165E1"/>
    <w:rsid w:val="00155424"/>
    <w:rsid w:val="001611E2"/>
    <w:rsid w:val="001F74BA"/>
    <w:rsid w:val="002367E5"/>
    <w:rsid w:val="00286225"/>
    <w:rsid w:val="002B4578"/>
    <w:rsid w:val="002C348E"/>
    <w:rsid w:val="00311CA3"/>
    <w:rsid w:val="00335463"/>
    <w:rsid w:val="003931EA"/>
    <w:rsid w:val="00401F85"/>
    <w:rsid w:val="004229A6"/>
    <w:rsid w:val="00436B22"/>
    <w:rsid w:val="00443394"/>
    <w:rsid w:val="004658D9"/>
    <w:rsid w:val="004775CF"/>
    <w:rsid w:val="004F5AC5"/>
    <w:rsid w:val="00526E22"/>
    <w:rsid w:val="005446FC"/>
    <w:rsid w:val="00550D0A"/>
    <w:rsid w:val="0057702A"/>
    <w:rsid w:val="005A1492"/>
    <w:rsid w:val="005A3F9C"/>
    <w:rsid w:val="005A6A67"/>
    <w:rsid w:val="00625641"/>
    <w:rsid w:val="00665854"/>
    <w:rsid w:val="006A095C"/>
    <w:rsid w:val="006F5DA2"/>
    <w:rsid w:val="00705CBF"/>
    <w:rsid w:val="00710992"/>
    <w:rsid w:val="00711186"/>
    <w:rsid w:val="00763B92"/>
    <w:rsid w:val="007B5B4F"/>
    <w:rsid w:val="007E3D3D"/>
    <w:rsid w:val="007E5D57"/>
    <w:rsid w:val="00814D1E"/>
    <w:rsid w:val="00843816"/>
    <w:rsid w:val="008872FB"/>
    <w:rsid w:val="008E28ED"/>
    <w:rsid w:val="00902061"/>
    <w:rsid w:val="00945CC6"/>
    <w:rsid w:val="00947461"/>
    <w:rsid w:val="00983014"/>
    <w:rsid w:val="0099136A"/>
    <w:rsid w:val="009B0DEC"/>
    <w:rsid w:val="009B2E7E"/>
    <w:rsid w:val="009B6230"/>
    <w:rsid w:val="009D4DEC"/>
    <w:rsid w:val="009E1C26"/>
    <w:rsid w:val="00A0180D"/>
    <w:rsid w:val="00A10E18"/>
    <w:rsid w:val="00A31C2A"/>
    <w:rsid w:val="00A537B0"/>
    <w:rsid w:val="00A5775F"/>
    <w:rsid w:val="00A760C2"/>
    <w:rsid w:val="00AC4523"/>
    <w:rsid w:val="00AF02F5"/>
    <w:rsid w:val="00B04FF0"/>
    <w:rsid w:val="00B80B4D"/>
    <w:rsid w:val="00B82432"/>
    <w:rsid w:val="00B908EF"/>
    <w:rsid w:val="00BD3F70"/>
    <w:rsid w:val="00BE3925"/>
    <w:rsid w:val="00C75330"/>
    <w:rsid w:val="00CD2004"/>
    <w:rsid w:val="00CF1AF2"/>
    <w:rsid w:val="00D124DA"/>
    <w:rsid w:val="00D37D23"/>
    <w:rsid w:val="00DD72A3"/>
    <w:rsid w:val="00E07549"/>
    <w:rsid w:val="00E84CE6"/>
    <w:rsid w:val="00EA40AF"/>
    <w:rsid w:val="00EE458F"/>
    <w:rsid w:val="00F31F37"/>
    <w:rsid w:val="00F66F3D"/>
    <w:rsid w:val="00F91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625FB0C2"/>
  <w15:chartTrackingRefBased/>
  <w15:docId w15:val="{08BA7857-5E70-4719-A8C5-D6592D1F77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66585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401F8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1F8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01F8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1F8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01F8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1F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1F85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D37D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37D23"/>
  </w:style>
  <w:style w:type="paragraph" w:styleId="Footer">
    <w:name w:val="footer"/>
    <w:basedOn w:val="Normal"/>
    <w:link w:val="FooterChar"/>
    <w:uiPriority w:val="99"/>
    <w:unhideWhenUsed/>
    <w:rsid w:val="00D37D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37D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5EB8CA-A46C-440A-8E11-0417A06386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302</Words>
  <Characters>1723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BFS</Company>
  <LinksUpToDate>false</LinksUpToDate>
  <CharactersWithSpaces>2021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Regina D. Epperly</dc:creator>
  <cp:keywords/>
  <dc:description/>
  <cp:lastModifiedBy>Brian David Casto</cp:lastModifiedBy>
  <cp:revision>52</cp:revision>
  <dcterms:created xsi:type="dcterms:W3CDTF">2019-11-04T21:20:00Z</dcterms:created>
  <dcterms:modified xsi:type="dcterms:W3CDTF">2019-11-04T21:48:00Z</dcterms:modified>
</cp:coreProperties>
</file>