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6F50" w14:textId="77777777" w:rsidR="004A6913" w:rsidRDefault="004A6913">
      <w:pPr>
        <w:spacing w:before="10" w:after="0" w:line="180" w:lineRule="exact"/>
        <w:rPr>
          <w:sz w:val="18"/>
          <w:szCs w:val="18"/>
        </w:rPr>
      </w:pPr>
    </w:p>
    <w:p w14:paraId="3FDA070F" w14:textId="77777777" w:rsidR="004A6913" w:rsidRDefault="004A6913">
      <w:pPr>
        <w:spacing w:after="0" w:line="200" w:lineRule="exact"/>
        <w:rPr>
          <w:sz w:val="20"/>
          <w:szCs w:val="20"/>
        </w:rPr>
      </w:pPr>
    </w:p>
    <w:p w14:paraId="2A4DB0BA" w14:textId="77777777" w:rsidR="004A6913" w:rsidRDefault="004A6913">
      <w:pPr>
        <w:spacing w:after="0" w:line="200" w:lineRule="exact"/>
        <w:rPr>
          <w:sz w:val="20"/>
          <w:szCs w:val="20"/>
        </w:rPr>
      </w:pPr>
    </w:p>
    <w:p w14:paraId="51BFC1A1" w14:textId="77777777" w:rsidR="004A6913" w:rsidRDefault="00613780">
      <w:pPr>
        <w:spacing w:before="29" w:after="0" w:line="271" w:lineRule="exact"/>
        <w:ind w:left="3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TABLE 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-6A.—High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ay Trust Fund</w:t>
      </w:r>
    </w:p>
    <w:p w14:paraId="44742B09" w14:textId="77777777" w:rsidR="004A6913" w:rsidRDefault="004A6913">
      <w:pPr>
        <w:spacing w:after="0"/>
        <w:sectPr w:rsidR="004A6913"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top="940" w:right="960" w:bottom="880" w:left="980" w:header="744" w:footer="684" w:gutter="0"/>
          <w:cols w:space="720"/>
        </w:sectPr>
      </w:pPr>
    </w:p>
    <w:p w14:paraId="37A3C12D" w14:textId="77777777" w:rsidR="004A6913" w:rsidRDefault="004A6913">
      <w:pPr>
        <w:spacing w:before="3" w:after="0" w:line="120" w:lineRule="exact"/>
        <w:rPr>
          <w:sz w:val="12"/>
          <w:szCs w:val="12"/>
        </w:rPr>
      </w:pPr>
    </w:p>
    <w:p w14:paraId="2036AB13" w14:textId="77777777" w:rsidR="004A6913" w:rsidRDefault="00613780">
      <w:pPr>
        <w:spacing w:after="0" w:line="240" w:lineRule="auto"/>
        <w:ind w:left="100" w:right="-54" w:firstLine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llowing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s released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 of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Byrd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[co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 26 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ited States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Code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)]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epres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 data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Hi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way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C4DB591" w14:textId="77777777" w:rsidR="004A6913" w:rsidRDefault="00613780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14:paraId="0E1DFA51" w14:textId="1CE0388F" w:rsidR="004A6913" w:rsidRDefault="00475436" w:rsidP="00475436">
      <w:pPr>
        <w:spacing w:after="0"/>
        <w:ind w:firstLine="388"/>
        <w:jc w:val="both"/>
        <w:sectPr w:rsidR="004A6913">
          <w:type w:val="continuous"/>
          <w:pgSz w:w="12240" w:h="15840"/>
          <w:pgMar w:top="940" w:right="960" w:bottom="880" w:left="980" w:header="720" w:footer="720" w:gutter="0"/>
          <w:cols w:num="2" w:space="720" w:equalWidth="0">
            <w:col w:w="4999" w:space="286"/>
            <w:col w:w="5015"/>
          </w:cols>
        </w:sectPr>
      </w:pPr>
      <w:r w:rsidRPr="00475436">
        <w:rPr>
          <w:rFonts w:ascii="Times New Roman" w:eastAsia="Times New Roman" w:hAnsi="Times New Roman" w:cs="Times New Roman"/>
          <w:sz w:val="20"/>
          <w:szCs w:val="20"/>
        </w:rPr>
        <w:t>The 48-month revenue estimates for the highway and mass transit accounts, respectively, include the latest estimates received from Treasury’s Office of Tax Analysis for excise taxes, net of refunds.</w:t>
      </w:r>
    </w:p>
    <w:p w14:paraId="62535DB9" w14:textId="77777777" w:rsidR="004A6913" w:rsidRDefault="004A691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3532"/>
        <w:gridCol w:w="1400"/>
      </w:tblGrid>
      <w:tr w:rsidR="00222FD4" w14:paraId="02124324" w14:textId="77777777" w:rsidTr="00A95E8F">
        <w:tc>
          <w:tcPr>
            <w:tcW w:w="10080" w:type="dxa"/>
            <w:gridSpan w:val="3"/>
            <w:tcMar>
              <w:left w:w="115" w:type="dxa"/>
              <w:right w:w="43" w:type="dxa"/>
            </w:tcMar>
          </w:tcPr>
          <w:p w14:paraId="5BD9B16F" w14:textId="77777777" w:rsidR="00222FD4" w:rsidRDefault="00222FD4" w:rsidP="00A95E8F">
            <w:pPr>
              <w:pStyle w:val="Heading3"/>
            </w:pPr>
          </w:p>
          <w:p w14:paraId="4978C6D7" w14:textId="77777777" w:rsidR="00222FD4" w:rsidRDefault="00222FD4" w:rsidP="00A95E8F"/>
          <w:p w14:paraId="397105F1" w14:textId="77777777" w:rsidR="00222FD4" w:rsidRDefault="00222FD4" w:rsidP="00A95E8F">
            <w:pPr>
              <w:pStyle w:val="Heading3"/>
            </w:pPr>
            <w:r>
              <w:t>Highway Account</w:t>
            </w:r>
          </w:p>
          <w:p w14:paraId="3FFDAE3D" w14:textId="77777777" w:rsidR="00222FD4" w:rsidRDefault="00222FD4" w:rsidP="00A95E8F">
            <w:pPr>
              <w:pStyle w:val="Millions"/>
            </w:pPr>
            <w:r>
              <w:t>[In billions of dollars. Source: DOT]</w:t>
            </w:r>
          </w:p>
        </w:tc>
      </w:tr>
      <w:tr w:rsidR="00222FD4" w14:paraId="62792B88" w14:textId="77777777" w:rsidTr="00A95E8F">
        <w:tc>
          <w:tcPr>
            <w:tcW w:w="8640" w:type="dxa"/>
            <w:gridSpan w:val="2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11A65B8D" w14:textId="084CE07E" w:rsidR="00222FD4" w:rsidRDefault="00222FD4" w:rsidP="00A95E8F">
            <w:pPr>
              <w:pStyle w:val="TTLDR"/>
              <w:tabs>
                <w:tab w:val="clear" w:pos="3312"/>
                <w:tab w:val="right" w:leader="dot" w:pos="8532"/>
              </w:tabs>
              <w:spacing w:after="360"/>
              <w:ind w:left="0"/>
            </w:pPr>
            <w:r>
              <w:t>Commitments (unobligated balances plus unpaid obligations, fiscal year 202</w:t>
            </w:r>
            <w:r w:rsidR="00475436">
              <w:t>4</w:t>
            </w:r>
            <w:r>
              <w:t>)</w:t>
            </w:r>
            <w:r>
              <w:tab/>
            </w:r>
          </w:p>
        </w:tc>
        <w:tc>
          <w:tcPr>
            <w:tcW w:w="1440" w:type="dxa"/>
            <w:tcBorders>
              <w:left w:val="nil"/>
            </w:tcBorders>
            <w:tcMar>
              <w:left w:w="115" w:type="dxa"/>
              <w:right w:w="43" w:type="dxa"/>
            </w:tcMar>
          </w:tcPr>
          <w:p w14:paraId="3612EECB" w14:textId="581A9A22" w:rsidR="00222FD4" w:rsidRDefault="00A77D94" w:rsidP="00A95E8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 w:rsidR="00475436">
              <w:rPr>
                <w:rFonts w:ascii="Arial Narrow" w:hAnsi="Arial Narrow" w:cs="Arial"/>
                <w:sz w:val="16"/>
                <w:szCs w:val="16"/>
              </w:rPr>
              <w:t>19</w:t>
            </w:r>
            <w:r w:rsidR="00222FD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0F5F9F91" w14:textId="77777777" w:rsidR="00222FD4" w:rsidRPr="008859D7" w:rsidRDefault="00222FD4" w:rsidP="00A95E8F">
            <w:pPr>
              <w:pStyle w:val="TTR"/>
            </w:pPr>
          </w:p>
        </w:tc>
      </w:tr>
      <w:tr w:rsidR="00222FD4" w14:paraId="50BB2A27" w14:textId="77777777" w:rsidTr="00A95E8F">
        <w:tc>
          <w:tcPr>
            <w:tcW w:w="8640" w:type="dxa"/>
            <w:gridSpan w:val="2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5D87E08A" w14:textId="77777777" w:rsidR="00222FD4" w:rsidRDefault="00222FD4" w:rsidP="00A95E8F">
            <w:pPr>
              <w:pStyle w:val="TTLDR"/>
              <w:spacing w:after="360"/>
              <w:ind w:left="0"/>
            </w:pPr>
            <w:r>
              <w:t>less:</w:t>
            </w:r>
          </w:p>
        </w:tc>
        <w:tc>
          <w:tcPr>
            <w:tcW w:w="1440" w:type="dxa"/>
            <w:tcBorders>
              <w:left w:val="nil"/>
            </w:tcBorders>
            <w:tcMar>
              <w:left w:w="115" w:type="dxa"/>
              <w:right w:w="43" w:type="dxa"/>
            </w:tcMar>
            <w:vAlign w:val="bottom"/>
          </w:tcPr>
          <w:p w14:paraId="40BDE9B2" w14:textId="77777777" w:rsidR="00222FD4" w:rsidRPr="000A312C" w:rsidRDefault="00222FD4" w:rsidP="00A95E8F">
            <w:pPr>
              <w:pStyle w:val="TTR"/>
            </w:pPr>
            <w:r w:rsidRPr="000A312C">
              <w:t> </w:t>
            </w:r>
          </w:p>
        </w:tc>
      </w:tr>
      <w:tr w:rsidR="00222FD4" w14:paraId="4FC73978" w14:textId="77777777" w:rsidTr="00A95E8F">
        <w:tc>
          <w:tcPr>
            <w:tcW w:w="8640" w:type="dxa"/>
            <w:gridSpan w:val="2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374D07DD" w14:textId="0A1ED8CC" w:rsidR="00222FD4" w:rsidRDefault="00222FD4" w:rsidP="00A95E8F">
            <w:pPr>
              <w:pStyle w:val="TTLDR"/>
              <w:tabs>
                <w:tab w:val="clear" w:pos="3312"/>
                <w:tab w:val="right" w:leader="dot" w:pos="8532"/>
              </w:tabs>
              <w:spacing w:after="360"/>
              <w:ind w:left="0"/>
            </w:pPr>
            <w:r>
              <w:t>Cash balance (fiscal year 202</w:t>
            </w:r>
            <w:r w:rsidR="00475436">
              <w:t>4</w:t>
            </w:r>
            <w:r>
              <w:t>)</w:t>
            </w:r>
            <w:r>
              <w:tab/>
            </w:r>
          </w:p>
        </w:tc>
        <w:tc>
          <w:tcPr>
            <w:tcW w:w="1440" w:type="dxa"/>
            <w:tcBorders>
              <w:left w:val="nil"/>
            </w:tcBorders>
            <w:tcMar>
              <w:left w:w="115" w:type="dxa"/>
              <w:right w:w="43" w:type="dxa"/>
            </w:tcMar>
          </w:tcPr>
          <w:p w14:paraId="21338021" w14:textId="27DEE6D4" w:rsidR="00222FD4" w:rsidRDefault="00222FD4" w:rsidP="00A95E8F">
            <w:pPr>
              <w:pStyle w:val="TTU"/>
            </w:pPr>
            <w:r>
              <w:t xml:space="preserve">                              </w:t>
            </w:r>
            <w:r w:rsidR="00475436">
              <w:t>75</w:t>
            </w:r>
            <w:r>
              <w:t xml:space="preserve"> </w:t>
            </w:r>
          </w:p>
        </w:tc>
      </w:tr>
      <w:tr w:rsidR="00222FD4" w14:paraId="60029510" w14:textId="77777777" w:rsidTr="00A95E8F">
        <w:tc>
          <w:tcPr>
            <w:tcW w:w="8640" w:type="dxa"/>
            <w:gridSpan w:val="2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28F49560" w14:textId="47BFFE88" w:rsidR="00222FD4" w:rsidRDefault="00222FD4" w:rsidP="00A95E8F">
            <w:pPr>
              <w:pStyle w:val="TTLDR"/>
              <w:tabs>
                <w:tab w:val="clear" w:pos="3312"/>
                <w:tab w:val="right" w:leader="dot" w:pos="8532"/>
              </w:tabs>
              <w:spacing w:after="360"/>
              <w:ind w:left="0"/>
            </w:pPr>
            <w:r>
              <w:t>Unfunded authorizations (fiscal year 202</w:t>
            </w:r>
            <w:r w:rsidR="00475436">
              <w:t>4</w:t>
            </w:r>
            <w:r>
              <w:t>)</w:t>
            </w:r>
            <w:r>
              <w:tab/>
            </w:r>
          </w:p>
        </w:tc>
        <w:tc>
          <w:tcPr>
            <w:tcW w:w="1440" w:type="dxa"/>
            <w:tcBorders>
              <w:left w:val="nil"/>
            </w:tcBorders>
            <w:tcMar>
              <w:left w:w="115" w:type="dxa"/>
              <w:right w:w="43" w:type="dxa"/>
            </w:tcMar>
          </w:tcPr>
          <w:p w14:paraId="4A13431D" w14:textId="1FF3C0BF" w:rsidR="00222FD4" w:rsidRDefault="00475436" w:rsidP="00A95E8F">
            <w:pPr>
              <w:pStyle w:val="TTUD"/>
            </w:pPr>
            <w:r>
              <w:t>44</w:t>
            </w:r>
            <w:r w:rsidR="00222FD4">
              <w:t xml:space="preserve"> </w:t>
            </w:r>
          </w:p>
        </w:tc>
      </w:tr>
      <w:tr w:rsidR="00222FD4" w:rsidRPr="009A7F16" w14:paraId="6E2DCA1B" w14:textId="77777777" w:rsidTr="00A95E8F">
        <w:tc>
          <w:tcPr>
            <w:tcW w:w="8640" w:type="dxa"/>
            <w:gridSpan w:val="2"/>
            <w:tcBorders>
              <w:bottom w:val="nil"/>
              <w:right w:val="nil"/>
            </w:tcBorders>
            <w:tcMar>
              <w:left w:w="115" w:type="dxa"/>
              <w:right w:w="43" w:type="dxa"/>
            </w:tcMar>
          </w:tcPr>
          <w:p w14:paraId="5E1D655F" w14:textId="524040A2" w:rsidR="00222FD4" w:rsidRPr="00B71708" w:rsidRDefault="00222FD4" w:rsidP="00A95E8F">
            <w:pPr>
              <w:pStyle w:val="TTLDR"/>
              <w:tabs>
                <w:tab w:val="clear" w:pos="3312"/>
                <w:tab w:val="right" w:leader="dot" w:pos="8712"/>
              </w:tabs>
              <w:ind w:left="0"/>
            </w:pPr>
            <w:r w:rsidRPr="00B71708">
              <w:t>48-month revenue estimate (fiscal years 202</w:t>
            </w:r>
            <w:r w:rsidR="00475436">
              <w:t>5</w:t>
            </w:r>
            <w:r w:rsidRPr="00B71708">
              <w:t>, 202</w:t>
            </w:r>
            <w:r w:rsidR="00475436">
              <w:t>6</w:t>
            </w:r>
            <w:r w:rsidRPr="00B71708">
              <w:t>, 202</w:t>
            </w:r>
            <w:r w:rsidR="00475436">
              <w:t>7</w:t>
            </w:r>
            <w:r>
              <w:t>, and 202</w:t>
            </w:r>
            <w:r w:rsidR="00475436">
              <w:t>8</w:t>
            </w:r>
            <w:r w:rsidRPr="00B71708">
              <w:t>)</w:t>
            </w:r>
            <w:r w:rsidRPr="00B71708">
              <w:tab/>
            </w:r>
          </w:p>
        </w:tc>
        <w:tc>
          <w:tcPr>
            <w:tcW w:w="1440" w:type="dxa"/>
            <w:tcBorders>
              <w:left w:val="nil"/>
              <w:bottom w:val="nil"/>
            </w:tcBorders>
            <w:tcMar>
              <w:left w:w="115" w:type="dxa"/>
              <w:right w:w="43" w:type="dxa"/>
            </w:tcMar>
          </w:tcPr>
          <w:p w14:paraId="28C6D032" w14:textId="680B281C" w:rsidR="00222FD4" w:rsidRDefault="00222FD4" w:rsidP="00A95E8F">
            <w:pPr>
              <w:pStyle w:val="TTR"/>
            </w:pPr>
            <w:r>
              <w:t>14</w:t>
            </w:r>
            <w:r w:rsidR="00475436">
              <w:t>0</w:t>
            </w:r>
            <w:r>
              <w:t xml:space="preserve"> </w:t>
            </w:r>
          </w:p>
        </w:tc>
      </w:tr>
      <w:tr w:rsidR="00222FD4" w14:paraId="7A28685B" w14:textId="77777777" w:rsidTr="00A95E8F">
        <w:tc>
          <w:tcPr>
            <w:tcW w:w="10080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43" w:type="dxa"/>
            </w:tcMar>
          </w:tcPr>
          <w:p w14:paraId="6DAF53A2" w14:textId="77777777" w:rsidR="00222FD4" w:rsidRDefault="00222FD4" w:rsidP="00A95E8F">
            <w:pPr>
              <w:pStyle w:val="TTR"/>
            </w:pPr>
          </w:p>
        </w:tc>
      </w:tr>
      <w:tr w:rsidR="00222FD4" w14:paraId="3E60BC1F" w14:textId="77777777" w:rsidTr="00A95E8F">
        <w:tc>
          <w:tcPr>
            <w:tcW w:w="10080" w:type="dxa"/>
            <w:gridSpan w:val="3"/>
            <w:tcBorders>
              <w:top w:val="single" w:sz="4" w:space="0" w:color="auto"/>
              <w:bottom w:val="nil"/>
            </w:tcBorders>
            <w:tcMar>
              <w:left w:w="115" w:type="dxa"/>
              <w:right w:w="43" w:type="dxa"/>
            </w:tcMar>
          </w:tcPr>
          <w:p w14:paraId="7B386AA8" w14:textId="77777777" w:rsidR="00222FD4" w:rsidRDefault="00222FD4" w:rsidP="00A95E8F">
            <w:pPr>
              <w:pStyle w:val="TTR"/>
            </w:pPr>
          </w:p>
        </w:tc>
      </w:tr>
      <w:tr w:rsidR="00222FD4" w14:paraId="7AF7D489" w14:textId="77777777" w:rsidTr="001732EA">
        <w:tc>
          <w:tcPr>
            <w:tcW w:w="5040" w:type="dxa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201DCC4D" w14:textId="08CF0E9E" w:rsidR="00222FD4" w:rsidRDefault="001732EA" w:rsidP="00A95E8F">
            <w:pPr>
              <w:pStyle w:val="Footnote"/>
            </w:pPr>
            <w:r w:rsidRPr="001732EA">
              <w:t>Note—Detail may not add due to rounding. Reflects extension of authorized revenue collection and funding levels prescribed in P.L. 117-58.</w:t>
            </w:r>
            <w:r w:rsidRPr="001732EA">
              <w:tab/>
            </w:r>
          </w:p>
        </w:tc>
        <w:tc>
          <w:tcPr>
            <w:tcW w:w="5040" w:type="dxa"/>
            <w:gridSpan w:val="2"/>
            <w:tcBorders>
              <w:left w:val="nil"/>
            </w:tcBorders>
          </w:tcPr>
          <w:p w14:paraId="550E1C6A" w14:textId="77777777" w:rsidR="001732EA" w:rsidRPr="001732EA" w:rsidRDefault="001732EA" w:rsidP="001732EA">
            <w:pPr>
              <w:pStyle w:val="TTR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2EA">
              <w:rPr>
                <w:rFonts w:ascii="Arial" w:hAnsi="Arial" w:cs="Arial"/>
                <w:sz w:val="12"/>
                <w:szCs w:val="12"/>
              </w:rPr>
              <w:t>Note—</w:t>
            </w:r>
          </w:p>
          <w:p w14:paraId="3233740D" w14:textId="1964E3EE" w:rsidR="00222FD4" w:rsidRPr="001732EA" w:rsidRDefault="001732EA" w:rsidP="001732EA">
            <w:pPr>
              <w:pStyle w:val="TTR"/>
              <w:jc w:val="left"/>
              <w:rPr>
                <w:rFonts w:ascii="Arial" w:hAnsi="Arial" w:cs="Arial"/>
              </w:rPr>
            </w:pPr>
            <w:r w:rsidRPr="001732EA">
              <w:rPr>
                <w:rFonts w:ascii="Arial" w:hAnsi="Arial" w:cs="Arial"/>
                <w:sz w:val="12"/>
                <w:szCs w:val="12"/>
              </w:rPr>
              <w:t>48-month revenue estimate reflects FY 2024 Midsession Review projections.</w:t>
            </w:r>
            <w:r w:rsidRPr="001732EA">
              <w:rPr>
                <w:rFonts w:ascii="Arial" w:hAnsi="Arial" w:cs="Arial"/>
              </w:rPr>
              <w:t xml:space="preserve"> </w:t>
            </w:r>
            <w:r w:rsidRPr="001732EA">
              <w:rPr>
                <w:rFonts w:ascii="Arial" w:hAnsi="Arial" w:cs="Arial"/>
              </w:rPr>
              <w:tab/>
            </w:r>
          </w:p>
        </w:tc>
      </w:tr>
      <w:tr w:rsidR="00222FD4" w14:paraId="26284294" w14:textId="77777777" w:rsidTr="00A95E8F">
        <w:tc>
          <w:tcPr>
            <w:tcW w:w="8640" w:type="dxa"/>
            <w:gridSpan w:val="2"/>
            <w:tcBorders>
              <w:bottom w:val="nil"/>
              <w:right w:val="nil"/>
            </w:tcBorders>
            <w:tcMar>
              <w:left w:w="115" w:type="dxa"/>
              <w:right w:w="43" w:type="dxa"/>
            </w:tcMar>
          </w:tcPr>
          <w:p w14:paraId="10A1865B" w14:textId="77777777" w:rsidR="00222FD4" w:rsidRDefault="00222FD4" w:rsidP="00A95E8F">
            <w:pPr>
              <w:pStyle w:val="TTLDR"/>
            </w:pPr>
          </w:p>
        </w:tc>
        <w:tc>
          <w:tcPr>
            <w:tcW w:w="1440" w:type="dxa"/>
            <w:tcBorders>
              <w:left w:val="nil"/>
              <w:bottom w:val="nil"/>
            </w:tcBorders>
            <w:tcMar>
              <w:left w:w="115" w:type="dxa"/>
              <w:right w:w="43" w:type="dxa"/>
            </w:tcMar>
          </w:tcPr>
          <w:p w14:paraId="1FAC0AD5" w14:textId="77777777" w:rsidR="00222FD4" w:rsidRDefault="00222FD4" w:rsidP="00A95E8F">
            <w:pPr>
              <w:pStyle w:val="TTR"/>
            </w:pPr>
          </w:p>
        </w:tc>
      </w:tr>
    </w:tbl>
    <w:p w14:paraId="333F6F61" w14:textId="08490256" w:rsidR="004A6913" w:rsidRDefault="004A6913">
      <w:pPr>
        <w:spacing w:after="0" w:line="200" w:lineRule="exact"/>
        <w:rPr>
          <w:sz w:val="20"/>
          <w:szCs w:val="20"/>
        </w:rPr>
      </w:pPr>
    </w:p>
    <w:p w14:paraId="73EB6240" w14:textId="28251641" w:rsidR="00222FD4" w:rsidRDefault="00222FD4">
      <w:pPr>
        <w:spacing w:after="0" w:line="200" w:lineRule="exact"/>
        <w:rPr>
          <w:sz w:val="20"/>
          <w:szCs w:val="20"/>
        </w:rPr>
      </w:pPr>
    </w:p>
    <w:p w14:paraId="31D38FC2" w14:textId="1C3EDEA5" w:rsidR="00222FD4" w:rsidRDefault="00222FD4">
      <w:pPr>
        <w:spacing w:after="0" w:line="200" w:lineRule="exact"/>
        <w:rPr>
          <w:sz w:val="20"/>
          <w:szCs w:val="20"/>
        </w:rPr>
      </w:pPr>
    </w:p>
    <w:p w14:paraId="32F01943" w14:textId="77777777" w:rsidR="00222FD4" w:rsidRDefault="00222FD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3534"/>
        <w:gridCol w:w="1398"/>
      </w:tblGrid>
      <w:tr w:rsidR="00222FD4" w14:paraId="33BC5C39" w14:textId="77777777" w:rsidTr="00A95E8F">
        <w:tc>
          <w:tcPr>
            <w:tcW w:w="10080" w:type="dxa"/>
            <w:gridSpan w:val="3"/>
            <w:tcMar>
              <w:left w:w="115" w:type="dxa"/>
              <w:right w:w="43" w:type="dxa"/>
            </w:tcMar>
          </w:tcPr>
          <w:p w14:paraId="0507F817" w14:textId="77777777" w:rsidR="00222FD4" w:rsidRDefault="00222FD4" w:rsidP="00A95E8F">
            <w:pPr>
              <w:pStyle w:val="Heading3"/>
            </w:pPr>
            <w:r>
              <w:t>Mass Transit Account</w:t>
            </w:r>
          </w:p>
          <w:p w14:paraId="1DC54387" w14:textId="77777777" w:rsidR="00222FD4" w:rsidRDefault="00222FD4" w:rsidP="00A95E8F">
            <w:pPr>
              <w:pStyle w:val="Millions"/>
            </w:pPr>
            <w:r>
              <w:t>[In billions of dollars. Source: DOT]</w:t>
            </w:r>
          </w:p>
        </w:tc>
      </w:tr>
      <w:tr w:rsidR="00222FD4" w14:paraId="60807C29" w14:textId="77777777" w:rsidTr="00A95E8F">
        <w:tc>
          <w:tcPr>
            <w:tcW w:w="8640" w:type="dxa"/>
            <w:gridSpan w:val="2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5C2AC9CD" w14:textId="3E427DE6" w:rsidR="00222FD4" w:rsidRDefault="00222FD4" w:rsidP="00A95E8F">
            <w:pPr>
              <w:pStyle w:val="TTLDR"/>
              <w:tabs>
                <w:tab w:val="clear" w:pos="3312"/>
                <w:tab w:val="right" w:leader="dot" w:pos="8640"/>
              </w:tabs>
              <w:spacing w:after="360"/>
              <w:ind w:left="0"/>
            </w:pPr>
            <w:r>
              <w:t>Commitments (unobligated balances plus unpaid obligations, fiscal year 202</w:t>
            </w:r>
            <w:r w:rsidR="00475436">
              <w:t>4</w:t>
            </w:r>
            <w:r>
              <w:t>)</w:t>
            </w:r>
            <w:r>
              <w:tab/>
            </w:r>
          </w:p>
        </w:tc>
        <w:tc>
          <w:tcPr>
            <w:tcW w:w="1440" w:type="dxa"/>
            <w:tcBorders>
              <w:left w:val="nil"/>
            </w:tcBorders>
            <w:tcMar>
              <w:left w:w="115" w:type="dxa"/>
              <w:right w:w="43" w:type="dxa"/>
            </w:tcMar>
          </w:tcPr>
          <w:p w14:paraId="708CA82B" w14:textId="58F0EF3C" w:rsidR="00222FD4" w:rsidRDefault="00A77D94" w:rsidP="00A95E8F">
            <w:pPr>
              <w:pStyle w:val="TTR"/>
            </w:pPr>
            <w:r>
              <w:t>5</w:t>
            </w:r>
            <w:r w:rsidR="0009314E">
              <w:t>5</w:t>
            </w:r>
            <w:r w:rsidR="00222FD4">
              <w:t xml:space="preserve"> </w:t>
            </w:r>
          </w:p>
          <w:p w14:paraId="5F1C6CA2" w14:textId="77777777" w:rsidR="00222FD4" w:rsidRDefault="00222FD4" w:rsidP="00A95E8F">
            <w:pPr>
              <w:pStyle w:val="TTR"/>
            </w:pPr>
          </w:p>
        </w:tc>
      </w:tr>
      <w:tr w:rsidR="00222FD4" w14:paraId="1C2FE839" w14:textId="77777777" w:rsidTr="00A95E8F">
        <w:tc>
          <w:tcPr>
            <w:tcW w:w="8640" w:type="dxa"/>
            <w:gridSpan w:val="2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3C280DA8" w14:textId="77777777" w:rsidR="00222FD4" w:rsidRDefault="00222FD4" w:rsidP="00A95E8F">
            <w:pPr>
              <w:pStyle w:val="TTLDR"/>
              <w:spacing w:after="360"/>
              <w:ind w:left="0"/>
            </w:pPr>
            <w:r>
              <w:t>less:</w:t>
            </w:r>
          </w:p>
        </w:tc>
        <w:tc>
          <w:tcPr>
            <w:tcW w:w="1440" w:type="dxa"/>
            <w:tcBorders>
              <w:left w:val="nil"/>
            </w:tcBorders>
            <w:tcMar>
              <w:left w:w="115" w:type="dxa"/>
              <w:right w:w="43" w:type="dxa"/>
            </w:tcMar>
            <w:vAlign w:val="bottom"/>
          </w:tcPr>
          <w:p w14:paraId="67A0BAEC" w14:textId="77777777" w:rsidR="00222FD4" w:rsidRDefault="00222FD4" w:rsidP="00A95E8F">
            <w:pPr>
              <w:pStyle w:val="TTR"/>
            </w:pPr>
            <w:r>
              <w:t> </w:t>
            </w:r>
          </w:p>
        </w:tc>
      </w:tr>
      <w:tr w:rsidR="00222FD4" w14:paraId="05AC268E" w14:textId="77777777" w:rsidTr="00A95E8F">
        <w:tc>
          <w:tcPr>
            <w:tcW w:w="8640" w:type="dxa"/>
            <w:gridSpan w:val="2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74EC892D" w14:textId="3C9BC8B1" w:rsidR="00222FD4" w:rsidRDefault="00222FD4" w:rsidP="00A95E8F">
            <w:pPr>
              <w:pStyle w:val="TTLDR"/>
              <w:tabs>
                <w:tab w:val="clear" w:pos="3312"/>
                <w:tab w:val="right" w:leader="dot" w:pos="8532"/>
              </w:tabs>
              <w:spacing w:after="360"/>
              <w:ind w:left="0"/>
            </w:pPr>
            <w:r>
              <w:t>Cash balance (fiscal year 202</w:t>
            </w:r>
            <w:r w:rsidR="00475436">
              <w:t>4</w:t>
            </w:r>
            <w:r>
              <w:t>)</w:t>
            </w:r>
            <w:r>
              <w:tab/>
            </w:r>
          </w:p>
        </w:tc>
        <w:tc>
          <w:tcPr>
            <w:tcW w:w="1440" w:type="dxa"/>
            <w:tcBorders>
              <w:left w:val="nil"/>
            </w:tcBorders>
            <w:tcMar>
              <w:left w:w="115" w:type="dxa"/>
              <w:right w:w="43" w:type="dxa"/>
            </w:tcMar>
          </w:tcPr>
          <w:p w14:paraId="31578593" w14:textId="391E040C" w:rsidR="00222FD4" w:rsidRDefault="00A77D94" w:rsidP="00A95E8F">
            <w:pPr>
              <w:pStyle w:val="TTU"/>
            </w:pPr>
            <w:r>
              <w:t>3</w:t>
            </w:r>
            <w:r w:rsidR="0009314E">
              <w:t>0</w:t>
            </w:r>
            <w:r w:rsidR="00222FD4">
              <w:t xml:space="preserve"> </w:t>
            </w:r>
          </w:p>
        </w:tc>
      </w:tr>
      <w:tr w:rsidR="00222FD4" w14:paraId="4863C72E" w14:textId="77777777" w:rsidTr="00A95E8F">
        <w:tc>
          <w:tcPr>
            <w:tcW w:w="8640" w:type="dxa"/>
            <w:gridSpan w:val="2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384FDA5F" w14:textId="212523ED" w:rsidR="00222FD4" w:rsidRDefault="00222FD4" w:rsidP="00A95E8F">
            <w:pPr>
              <w:pStyle w:val="TTLDR"/>
              <w:tabs>
                <w:tab w:val="clear" w:pos="3312"/>
                <w:tab w:val="right" w:leader="dot" w:pos="8532"/>
              </w:tabs>
              <w:spacing w:after="360"/>
              <w:ind w:left="0"/>
            </w:pPr>
            <w:r>
              <w:t>Unfunded authorizations (fiscal year 202</w:t>
            </w:r>
            <w:r w:rsidR="00475436">
              <w:t>4</w:t>
            </w:r>
            <w:r>
              <w:t>)</w:t>
            </w:r>
            <w:r>
              <w:tab/>
            </w:r>
          </w:p>
        </w:tc>
        <w:tc>
          <w:tcPr>
            <w:tcW w:w="1440" w:type="dxa"/>
            <w:tcBorders>
              <w:left w:val="nil"/>
            </w:tcBorders>
            <w:tcMar>
              <w:left w:w="115" w:type="dxa"/>
              <w:right w:w="43" w:type="dxa"/>
            </w:tcMar>
          </w:tcPr>
          <w:p w14:paraId="6A793E9C" w14:textId="1C85EA0C" w:rsidR="00222FD4" w:rsidRDefault="0009314E" w:rsidP="00A95E8F">
            <w:pPr>
              <w:pStyle w:val="TTR"/>
            </w:pPr>
            <w:r>
              <w:t>26</w:t>
            </w:r>
            <w:r w:rsidR="00222FD4">
              <w:t xml:space="preserve"> </w:t>
            </w:r>
          </w:p>
        </w:tc>
      </w:tr>
      <w:tr w:rsidR="00222FD4" w14:paraId="24073835" w14:textId="77777777" w:rsidTr="00A95E8F">
        <w:tc>
          <w:tcPr>
            <w:tcW w:w="8640" w:type="dxa"/>
            <w:gridSpan w:val="2"/>
            <w:tcBorders>
              <w:bottom w:val="nil"/>
              <w:right w:val="nil"/>
            </w:tcBorders>
            <w:tcMar>
              <w:left w:w="115" w:type="dxa"/>
              <w:right w:w="43" w:type="dxa"/>
            </w:tcMar>
          </w:tcPr>
          <w:p w14:paraId="36DD07C1" w14:textId="60A52520" w:rsidR="00222FD4" w:rsidRDefault="00222FD4" w:rsidP="00A95E8F">
            <w:pPr>
              <w:pStyle w:val="TTLDR"/>
              <w:tabs>
                <w:tab w:val="clear" w:pos="3312"/>
                <w:tab w:val="right" w:leader="dot" w:pos="8532"/>
              </w:tabs>
              <w:ind w:left="0"/>
            </w:pPr>
            <w:r>
              <w:t>48-month revenue estimate (fiscal years  202</w:t>
            </w:r>
            <w:r w:rsidR="00475436">
              <w:t>5</w:t>
            </w:r>
            <w:r>
              <w:t>, 202</w:t>
            </w:r>
            <w:r w:rsidR="00475436">
              <w:t>6</w:t>
            </w:r>
            <w:r>
              <w:t>, 202</w:t>
            </w:r>
            <w:r w:rsidR="00475436">
              <w:t>7</w:t>
            </w:r>
            <w:r>
              <w:t>, and 202</w:t>
            </w:r>
            <w:r w:rsidR="00475436">
              <w:t>8</w:t>
            </w:r>
            <w:r>
              <w:t>)</w:t>
            </w:r>
            <w:r>
              <w:tab/>
            </w:r>
          </w:p>
        </w:tc>
        <w:tc>
          <w:tcPr>
            <w:tcW w:w="1440" w:type="dxa"/>
            <w:tcBorders>
              <w:left w:val="nil"/>
              <w:bottom w:val="nil"/>
            </w:tcBorders>
            <w:tcMar>
              <w:left w:w="115" w:type="dxa"/>
              <w:right w:w="43" w:type="dxa"/>
            </w:tcMar>
          </w:tcPr>
          <w:p w14:paraId="587F3AFF" w14:textId="6F9C1BA0" w:rsidR="00222FD4" w:rsidRDefault="00222FD4" w:rsidP="00A95E8F">
            <w:pPr>
              <w:pStyle w:val="TTR"/>
            </w:pPr>
            <w:r>
              <w:t>2</w:t>
            </w:r>
            <w:r w:rsidR="0009314E">
              <w:t>7</w:t>
            </w:r>
            <w:r>
              <w:t xml:space="preserve"> </w:t>
            </w:r>
          </w:p>
        </w:tc>
      </w:tr>
      <w:tr w:rsidR="00222FD4" w14:paraId="7C4112C8" w14:textId="77777777" w:rsidTr="00A95E8F">
        <w:tc>
          <w:tcPr>
            <w:tcW w:w="8640" w:type="dxa"/>
            <w:gridSpan w:val="2"/>
            <w:tcBorders>
              <w:bottom w:val="single" w:sz="4" w:space="0" w:color="auto"/>
              <w:right w:val="nil"/>
            </w:tcBorders>
            <w:tcMar>
              <w:left w:w="115" w:type="dxa"/>
              <w:right w:w="43" w:type="dxa"/>
            </w:tcMar>
          </w:tcPr>
          <w:p w14:paraId="44040E7D" w14:textId="77777777" w:rsidR="00222FD4" w:rsidRDefault="00222FD4" w:rsidP="00A95E8F">
            <w:pPr>
              <w:pStyle w:val="TTLDR"/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tcMar>
              <w:left w:w="115" w:type="dxa"/>
              <w:right w:w="43" w:type="dxa"/>
            </w:tcMar>
          </w:tcPr>
          <w:p w14:paraId="6AACA4F4" w14:textId="77777777" w:rsidR="00222FD4" w:rsidRDefault="00222FD4" w:rsidP="00A95E8F">
            <w:pPr>
              <w:pStyle w:val="TTR"/>
            </w:pPr>
          </w:p>
        </w:tc>
      </w:tr>
      <w:tr w:rsidR="00222FD4" w14:paraId="0B6F12D4" w14:textId="77777777" w:rsidTr="00A95E8F">
        <w:tc>
          <w:tcPr>
            <w:tcW w:w="8640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left w:w="115" w:type="dxa"/>
              <w:right w:w="43" w:type="dxa"/>
            </w:tcMar>
          </w:tcPr>
          <w:p w14:paraId="677A834E" w14:textId="77777777" w:rsidR="00222FD4" w:rsidRDefault="00222FD4" w:rsidP="00A95E8F">
            <w:pPr>
              <w:pStyle w:val="TTLD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</w:tcBorders>
            <w:tcMar>
              <w:left w:w="115" w:type="dxa"/>
              <w:right w:w="43" w:type="dxa"/>
            </w:tcMar>
          </w:tcPr>
          <w:p w14:paraId="620C42E4" w14:textId="77777777" w:rsidR="00222FD4" w:rsidRDefault="00222FD4" w:rsidP="00A95E8F">
            <w:pPr>
              <w:pStyle w:val="TTR"/>
            </w:pPr>
          </w:p>
        </w:tc>
      </w:tr>
      <w:tr w:rsidR="00222FD4" w14:paraId="0CD47B05" w14:textId="77777777" w:rsidTr="00A95E8F">
        <w:tc>
          <w:tcPr>
            <w:tcW w:w="5040" w:type="dxa"/>
            <w:tcBorders>
              <w:top w:val="nil"/>
              <w:bottom w:val="nil"/>
              <w:right w:val="nil"/>
            </w:tcBorders>
            <w:tcMar>
              <w:left w:w="115" w:type="dxa"/>
              <w:right w:w="43" w:type="dxa"/>
            </w:tcMar>
          </w:tcPr>
          <w:p w14:paraId="3F31F501" w14:textId="66BFE421" w:rsidR="00222FD4" w:rsidRDefault="00222FD4" w:rsidP="00A95E8F">
            <w:pPr>
              <w:pStyle w:val="Footnote"/>
            </w:pPr>
            <w:r>
              <w:t>Note</w:t>
            </w:r>
            <w:r>
              <w:rPr>
                <w:rFonts w:cs="Arial"/>
              </w:rPr>
              <w:t>—</w:t>
            </w:r>
            <w:r>
              <w:t xml:space="preserve">Detail </w:t>
            </w:r>
            <w:r w:rsidRPr="000E04B5">
              <w:t>may not add due to rounding.</w:t>
            </w:r>
            <w:r w:rsidR="00001FFD">
              <w:t xml:space="preserve"> </w:t>
            </w:r>
            <w:r w:rsidR="00001FFD" w:rsidRPr="00001FFD">
              <w:t>Reflects extension of authorized revenue collection and funding levels prescribed in P.L. 117-58.</w:t>
            </w:r>
            <w:r w:rsidR="00001FFD" w:rsidRPr="00001FFD">
              <w:tab/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</w:tcPr>
          <w:p w14:paraId="7A9104B8" w14:textId="75FE9053" w:rsidR="00222FD4" w:rsidRDefault="00222FD4" w:rsidP="00A95E8F">
            <w:pPr>
              <w:pStyle w:val="Footnote"/>
              <w:rPr>
                <w:rFonts w:cs="Arial"/>
              </w:rPr>
            </w:pPr>
            <w:r w:rsidRPr="00CC3BC8">
              <w:t>Note</w:t>
            </w:r>
            <w:r w:rsidRPr="00CC3BC8">
              <w:rPr>
                <w:rFonts w:cs="Arial"/>
              </w:rPr>
              <w:t>—</w:t>
            </w:r>
          </w:p>
          <w:p w14:paraId="484B53A3" w14:textId="7CA98F3B" w:rsidR="00222FD4" w:rsidRDefault="00001FFD" w:rsidP="00A95E8F">
            <w:pPr>
              <w:pStyle w:val="Footnote"/>
            </w:pPr>
            <w:r w:rsidRPr="00001FFD">
              <w:rPr>
                <w:rFonts w:cs="Arial"/>
                <w:szCs w:val="12"/>
              </w:rPr>
              <w:t>48-month revenue estimate reflects FY 202</w:t>
            </w:r>
            <w:r w:rsidR="00475436">
              <w:rPr>
                <w:rFonts w:cs="Arial"/>
                <w:szCs w:val="12"/>
              </w:rPr>
              <w:t>4</w:t>
            </w:r>
            <w:r w:rsidRPr="00001FFD">
              <w:rPr>
                <w:rFonts w:cs="Arial"/>
                <w:szCs w:val="12"/>
              </w:rPr>
              <w:t xml:space="preserve"> Midsession Review projections. </w:t>
            </w:r>
            <w:r w:rsidRPr="00001FFD">
              <w:rPr>
                <w:rFonts w:cs="Arial"/>
                <w:szCs w:val="12"/>
              </w:rPr>
              <w:tab/>
            </w:r>
          </w:p>
        </w:tc>
      </w:tr>
    </w:tbl>
    <w:p w14:paraId="4E802A62" w14:textId="77777777" w:rsidR="00222FD4" w:rsidRDefault="00222FD4" w:rsidP="00222FD4">
      <w:pPr>
        <w:pStyle w:val="Heading1"/>
        <w:jc w:val="both"/>
        <w:sectPr w:rsidR="00222FD4" w:rsidSect="00247626">
          <w:type w:val="continuous"/>
          <w:pgSz w:w="12240" w:h="15840" w:code="1"/>
          <w:pgMar w:top="1440" w:right="1080" w:bottom="1440" w:left="1080" w:header="720" w:footer="288" w:gutter="0"/>
          <w:cols w:space="720"/>
          <w:docGrid w:linePitch="360"/>
        </w:sectPr>
      </w:pPr>
    </w:p>
    <w:p w14:paraId="25E6DAF4" w14:textId="77777777" w:rsidR="00222FD4" w:rsidRDefault="00222FD4" w:rsidP="00222FD4">
      <w:pPr>
        <w:pStyle w:val="Footnote"/>
      </w:pPr>
    </w:p>
    <w:p w14:paraId="7EF4810E" w14:textId="77777777" w:rsidR="00222FD4" w:rsidRDefault="00222FD4">
      <w:pPr>
        <w:spacing w:after="0" w:line="200" w:lineRule="exact"/>
        <w:rPr>
          <w:sz w:val="20"/>
          <w:szCs w:val="20"/>
        </w:rPr>
      </w:pPr>
    </w:p>
    <w:sectPr w:rsidR="00222FD4">
      <w:type w:val="continuous"/>
      <w:pgSz w:w="12240" w:h="15840"/>
      <w:pgMar w:top="940" w:right="960" w:bottom="8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69F9" w14:textId="77777777" w:rsidR="00D272D9" w:rsidRDefault="00D272D9">
      <w:pPr>
        <w:spacing w:after="0" w:line="240" w:lineRule="auto"/>
      </w:pPr>
      <w:r>
        <w:separator/>
      </w:r>
    </w:p>
  </w:endnote>
  <w:endnote w:type="continuationSeparator" w:id="0">
    <w:p w14:paraId="3356B48D" w14:textId="77777777" w:rsidR="00D272D9" w:rsidRDefault="00D2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53E1" w14:textId="635282BC" w:rsidR="004A6913" w:rsidRPr="002B0312" w:rsidRDefault="004A6913">
    <w:pPr>
      <w:spacing w:after="0" w:line="200" w:lineRule="exact"/>
      <w:rPr>
        <w:rFonts w:ascii="Arial" w:hAnsi="Arial" w:cs="Arial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AB07" w14:textId="54233CBB" w:rsidR="004A6913" w:rsidRPr="002B0312" w:rsidRDefault="004A6913" w:rsidP="002B0312">
    <w:pPr>
      <w:spacing w:after="0" w:line="200" w:lineRule="exact"/>
      <w:jc w:val="right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A8AB" w14:textId="77777777" w:rsidR="00D272D9" w:rsidRDefault="00D272D9">
      <w:pPr>
        <w:spacing w:after="0" w:line="240" w:lineRule="auto"/>
      </w:pPr>
      <w:r>
        <w:separator/>
      </w:r>
    </w:p>
  </w:footnote>
  <w:footnote w:type="continuationSeparator" w:id="0">
    <w:p w14:paraId="17203C27" w14:textId="77777777" w:rsidR="00D272D9" w:rsidRDefault="00D2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6464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AE4E2A" w14:textId="3E9E2F25" w:rsidR="00150221" w:rsidRDefault="001502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D7932" w14:textId="66DDBAC2" w:rsidR="004A6913" w:rsidRPr="002B0312" w:rsidRDefault="004A6913">
    <w:pPr>
      <w:spacing w:after="0" w:line="200" w:lineRule="exac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399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9D5B79" w14:textId="583DE2CF" w:rsidR="00150221" w:rsidRDefault="001502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BB8F2" w14:textId="509E81FD" w:rsidR="004A6913" w:rsidRDefault="004A6913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13"/>
    <w:rsid w:val="00001FFD"/>
    <w:rsid w:val="0009314E"/>
    <w:rsid w:val="001365C3"/>
    <w:rsid w:val="00150221"/>
    <w:rsid w:val="001706F3"/>
    <w:rsid w:val="001732EA"/>
    <w:rsid w:val="00222FD4"/>
    <w:rsid w:val="002B0312"/>
    <w:rsid w:val="002F42C0"/>
    <w:rsid w:val="00390FC9"/>
    <w:rsid w:val="00453DE5"/>
    <w:rsid w:val="00475436"/>
    <w:rsid w:val="00483769"/>
    <w:rsid w:val="004A6913"/>
    <w:rsid w:val="004F6925"/>
    <w:rsid w:val="0051250A"/>
    <w:rsid w:val="005A6D7A"/>
    <w:rsid w:val="00613780"/>
    <w:rsid w:val="006F7DA1"/>
    <w:rsid w:val="007A6FEC"/>
    <w:rsid w:val="007C531F"/>
    <w:rsid w:val="00800468"/>
    <w:rsid w:val="009E1940"/>
    <w:rsid w:val="00A252A9"/>
    <w:rsid w:val="00A77D94"/>
    <w:rsid w:val="00AC09DA"/>
    <w:rsid w:val="00B36C0F"/>
    <w:rsid w:val="00B9387E"/>
    <w:rsid w:val="00C06AD6"/>
    <w:rsid w:val="00C57EB3"/>
    <w:rsid w:val="00C97FD4"/>
    <w:rsid w:val="00D272D9"/>
    <w:rsid w:val="00DE327E"/>
    <w:rsid w:val="00DE4838"/>
    <w:rsid w:val="00F3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AD7833C"/>
  <w15:docId w15:val="{5718A672-B972-448E-B76D-D78A35BF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2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aliases w:val="Table"/>
    <w:next w:val="Normal"/>
    <w:link w:val="Heading3Char"/>
    <w:qFormat/>
    <w:rsid w:val="00222FD4"/>
    <w:pPr>
      <w:widowControl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5C3"/>
  </w:style>
  <w:style w:type="paragraph" w:styleId="Footer">
    <w:name w:val="footer"/>
    <w:basedOn w:val="Normal"/>
    <w:link w:val="FooterChar"/>
    <w:uiPriority w:val="99"/>
    <w:unhideWhenUsed/>
    <w:rsid w:val="0013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5C3"/>
  </w:style>
  <w:style w:type="paragraph" w:styleId="BalloonText">
    <w:name w:val="Balloon Text"/>
    <w:basedOn w:val="Normal"/>
    <w:link w:val="BalloonTextChar"/>
    <w:uiPriority w:val="99"/>
    <w:semiHidden/>
    <w:unhideWhenUsed/>
    <w:rsid w:val="00C0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D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6AD6"/>
    <w:pPr>
      <w:widowControl/>
      <w:spacing w:after="0" w:line="240" w:lineRule="auto"/>
    </w:pPr>
  </w:style>
  <w:style w:type="character" w:customStyle="1" w:styleId="Heading3Char">
    <w:name w:val="Heading 3 Char"/>
    <w:aliases w:val="Table Char"/>
    <w:basedOn w:val="DefaultParagraphFont"/>
    <w:link w:val="Heading3"/>
    <w:rsid w:val="00222FD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ootnote">
    <w:name w:val="Footnote"/>
    <w:link w:val="FootnoteChar"/>
    <w:rsid w:val="00222FD4"/>
    <w:pPr>
      <w:widowControl/>
      <w:spacing w:after="0" w:line="240" w:lineRule="auto"/>
    </w:pPr>
    <w:rPr>
      <w:rFonts w:ascii="Arial" w:eastAsia="Times New Roman" w:hAnsi="Arial" w:cs="Times New Roman"/>
      <w:sz w:val="12"/>
      <w:szCs w:val="20"/>
    </w:rPr>
  </w:style>
  <w:style w:type="paragraph" w:customStyle="1" w:styleId="Millions">
    <w:name w:val="Millions"/>
    <w:rsid w:val="00222FD4"/>
    <w:pPr>
      <w:widowControl/>
      <w:pBdr>
        <w:bottom w:val="single" w:sz="4" w:space="1" w:color="auto"/>
      </w:pBdr>
      <w:spacing w:after="120" w:line="240" w:lineRule="auto"/>
      <w:jc w:val="center"/>
    </w:pPr>
    <w:rPr>
      <w:rFonts w:ascii="Arial" w:eastAsia="Times New Roman" w:hAnsi="Arial" w:cs="Times New Roman"/>
      <w:sz w:val="12"/>
      <w:szCs w:val="20"/>
    </w:rPr>
  </w:style>
  <w:style w:type="paragraph" w:customStyle="1" w:styleId="TTLDR">
    <w:name w:val="TT LDR"/>
    <w:rsid w:val="00222FD4"/>
    <w:pPr>
      <w:widowControl/>
      <w:tabs>
        <w:tab w:val="right" w:leader="dot" w:pos="3312"/>
      </w:tabs>
      <w:spacing w:after="0" w:line="240" w:lineRule="auto"/>
      <w:ind w:left="461"/>
    </w:pPr>
    <w:rPr>
      <w:rFonts w:ascii="Arial Narrow" w:eastAsia="Times New Roman" w:hAnsi="Arial Narrow" w:cs="Times New Roman"/>
      <w:sz w:val="16"/>
      <w:szCs w:val="20"/>
    </w:rPr>
  </w:style>
  <w:style w:type="paragraph" w:customStyle="1" w:styleId="TTR">
    <w:name w:val="TTR"/>
    <w:rsid w:val="00222FD4"/>
    <w:pPr>
      <w:widowControl/>
      <w:spacing w:after="0" w:line="240" w:lineRule="auto"/>
      <w:jc w:val="right"/>
    </w:pPr>
    <w:rPr>
      <w:rFonts w:ascii="Arial Narrow" w:eastAsia="Times New Roman" w:hAnsi="Arial Narrow" w:cs="Times New Roman"/>
      <w:sz w:val="16"/>
      <w:szCs w:val="20"/>
    </w:rPr>
  </w:style>
  <w:style w:type="paragraph" w:customStyle="1" w:styleId="TTU">
    <w:name w:val="TTU"/>
    <w:link w:val="TTUChar"/>
    <w:rsid w:val="00222FD4"/>
    <w:pPr>
      <w:widowControl/>
      <w:pBdr>
        <w:bottom w:val="single" w:sz="4" w:space="1" w:color="auto"/>
      </w:pBdr>
      <w:spacing w:after="0" w:line="240" w:lineRule="auto"/>
      <w:jc w:val="right"/>
    </w:pPr>
    <w:rPr>
      <w:rFonts w:ascii="Arial Narrow" w:eastAsia="Times New Roman" w:hAnsi="Arial Narrow" w:cs="Times New Roman"/>
      <w:sz w:val="16"/>
      <w:szCs w:val="24"/>
    </w:rPr>
  </w:style>
  <w:style w:type="paragraph" w:customStyle="1" w:styleId="TTUD">
    <w:name w:val="TTUD"/>
    <w:link w:val="TTUDChar"/>
    <w:rsid w:val="00222FD4"/>
    <w:pPr>
      <w:widowControl/>
      <w:pBdr>
        <w:bottom w:val="double" w:sz="4" w:space="1" w:color="auto"/>
      </w:pBdr>
      <w:spacing w:after="0" w:line="240" w:lineRule="auto"/>
      <w:jc w:val="right"/>
    </w:pPr>
    <w:rPr>
      <w:rFonts w:ascii="Arial Narrow" w:eastAsia="Times New Roman" w:hAnsi="Arial Narrow" w:cs="Times New Roman"/>
      <w:sz w:val="16"/>
      <w:szCs w:val="20"/>
    </w:rPr>
  </w:style>
  <w:style w:type="character" w:customStyle="1" w:styleId="TTUChar">
    <w:name w:val="TTU Char"/>
    <w:link w:val="TTU"/>
    <w:rsid w:val="00222FD4"/>
    <w:rPr>
      <w:rFonts w:ascii="Arial Narrow" w:eastAsia="Times New Roman" w:hAnsi="Arial Narrow" w:cs="Times New Roman"/>
      <w:sz w:val="16"/>
      <w:szCs w:val="24"/>
    </w:rPr>
  </w:style>
  <w:style w:type="character" w:customStyle="1" w:styleId="TTUDChar">
    <w:name w:val="TTUD Char"/>
    <w:link w:val="TTUD"/>
    <w:rsid w:val="00222FD4"/>
    <w:rPr>
      <w:rFonts w:ascii="Arial Narrow" w:eastAsia="Times New Roman" w:hAnsi="Arial Narrow" w:cs="Times New Roman"/>
      <w:sz w:val="16"/>
      <w:szCs w:val="20"/>
    </w:rPr>
  </w:style>
  <w:style w:type="character" w:customStyle="1" w:styleId="FootnoteChar">
    <w:name w:val="Footnote Char"/>
    <w:link w:val="Footnote"/>
    <w:rsid w:val="00222FD4"/>
    <w:rPr>
      <w:rFonts w:ascii="Arial" w:eastAsia="Times New Roman" w:hAnsi="Arial" w:cs="Times New Roman"/>
      <w:sz w:val="1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2F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b2016_1tf1_16</vt:lpstr>
    </vt:vector>
  </TitlesOfParts>
  <Company>DOT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b2016_1tf1_16</dc:title>
  <dc:creator>lcoole01</dc:creator>
  <cp:lastModifiedBy>Andrew R. Bayer</cp:lastModifiedBy>
  <cp:revision>6</cp:revision>
  <cp:lastPrinted>2020-12-03T17:15:00Z</cp:lastPrinted>
  <dcterms:created xsi:type="dcterms:W3CDTF">2022-11-09T15:23:00Z</dcterms:created>
  <dcterms:modified xsi:type="dcterms:W3CDTF">2023-11-20T14:47:00Z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2017-02-09T00:00:00Z</vt:filetime>
  </property>
</Properties>
</file>